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31469418" w:rsidR="00A160B2" w:rsidRPr="00D27959" w:rsidRDefault="00A613D8" w:rsidP="00A160B2">
      <w:pPr>
        <w:spacing w:after="480"/>
        <w:rPr>
          <w:rFonts w:cs="Arial"/>
        </w:rPr>
      </w:pPr>
      <w:r>
        <w:rPr>
          <w:rFonts w:cs="Arial"/>
        </w:rPr>
        <w:t>[</w:t>
      </w:r>
      <w:r w:rsidR="00A160B2" w:rsidRPr="00D27959">
        <w:rPr>
          <w:rFonts w:cs="Arial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76"/>
        <w:gridCol w:w="4933"/>
      </w:tblGrid>
      <w:tr w:rsidR="00A160B2" w:rsidRPr="00D27959" w14:paraId="3E9231EB" w14:textId="77777777" w:rsidTr="00F15248">
        <w:trPr>
          <w:tblHeader/>
        </w:trPr>
        <w:tc>
          <w:tcPr>
            <w:tcW w:w="3376" w:type="dxa"/>
            <w:tcBorders>
              <w:bottom w:val="single" w:sz="18" w:space="0" w:color="auto"/>
            </w:tcBorders>
          </w:tcPr>
          <w:p w14:paraId="2EDC0AA9" w14:textId="77777777" w:rsidR="00A160B2" w:rsidRPr="00D27959" w:rsidRDefault="00A160B2" w:rsidP="006C3150">
            <w:pPr>
              <w:pStyle w:val="Heading1"/>
              <w:spacing w:after="240"/>
              <w:outlineLvl w:val="0"/>
              <w:rPr>
                <w:rFonts w:ascii="Arial" w:hAnsi="Arial"/>
              </w:rPr>
            </w:pPr>
            <w:r w:rsidRPr="00D27959">
              <w:rPr>
                <w:rFonts w:ascii="Arial" w:hAnsi="Arial"/>
              </w:rPr>
              <w:t>Report for:</w:t>
            </w:r>
          </w:p>
        </w:tc>
        <w:tc>
          <w:tcPr>
            <w:tcW w:w="4933" w:type="dxa"/>
            <w:tcBorders>
              <w:bottom w:val="single" w:sz="18" w:space="0" w:color="auto"/>
            </w:tcBorders>
          </w:tcPr>
          <w:p w14:paraId="4A91C7BE" w14:textId="32E706A4" w:rsidR="00A160B2" w:rsidRPr="00D27959" w:rsidRDefault="00F50D64" w:rsidP="006C3150">
            <w:pPr>
              <w:pStyle w:val="Heading1"/>
              <w:outlineLvl w:val="0"/>
              <w:rPr>
                <w:rFonts w:ascii="Arial" w:hAnsi="Arial"/>
              </w:rPr>
            </w:pPr>
            <w:r w:rsidRPr="00D27959">
              <w:rPr>
                <w:rFonts w:ascii="Arial" w:hAnsi="Arial"/>
              </w:rPr>
              <w:t>Council</w:t>
            </w:r>
          </w:p>
          <w:p w14:paraId="55A88F66" w14:textId="2B31CDB3" w:rsidR="00A160B2" w:rsidRPr="00D27959" w:rsidRDefault="00A160B2" w:rsidP="006C3150">
            <w:pPr>
              <w:pStyle w:val="Heading1"/>
              <w:outlineLvl w:val="0"/>
              <w:rPr>
                <w:rFonts w:ascii="Arial" w:hAnsi="Arial"/>
                <w:color w:val="0000FF"/>
                <w:szCs w:val="24"/>
              </w:rPr>
            </w:pPr>
          </w:p>
        </w:tc>
      </w:tr>
      <w:tr w:rsidR="00A160B2" w:rsidRPr="00D27959" w14:paraId="5281F5A9" w14:textId="77777777" w:rsidTr="00F15248">
        <w:tc>
          <w:tcPr>
            <w:tcW w:w="3376" w:type="dxa"/>
            <w:tcBorders>
              <w:top w:val="single" w:sz="18" w:space="0" w:color="auto"/>
            </w:tcBorders>
          </w:tcPr>
          <w:p w14:paraId="0991D380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Date of Meeting:</w:t>
            </w:r>
          </w:p>
          <w:p w14:paraId="3A6B81C9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  <w:tcBorders>
              <w:top w:val="single" w:sz="18" w:space="0" w:color="auto"/>
            </w:tcBorders>
          </w:tcPr>
          <w:p w14:paraId="495EBCE8" w14:textId="36491F62" w:rsidR="00A160B2" w:rsidRPr="00D27959" w:rsidRDefault="00A50B59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23 February 2023</w:t>
            </w:r>
          </w:p>
        </w:tc>
      </w:tr>
      <w:tr w:rsidR="00A160B2" w:rsidRPr="00D27959" w14:paraId="79B879D4" w14:textId="77777777" w:rsidTr="00F15248">
        <w:trPr>
          <w:trHeight w:val="850"/>
        </w:trPr>
        <w:tc>
          <w:tcPr>
            <w:tcW w:w="3376" w:type="dxa"/>
          </w:tcPr>
          <w:p w14:paraId="5EBA2504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Subject:</w:t>
            </w:r>
          </w:p>
          <w:p w14:paraId="262AF561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</w:tcPr>
          <w:p w14:paraId="5914456E" w14:textId="1CEAE907" w:rsidR="00A160B2" w:rsidRPr="00D27959" w:rsidRDefault="00F50D64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Information Report – Renumeration Packages of £100,000 or greater</w:t>
            </w:r>
          </w:p>
        </w:tc>
      </w:tr>
      <w:tr w:rsidR="00A160B2" w:rsidRPr="00D27959" w14:paraId="3A5E0F07" w14:textId="77777777" w:rsidTr="00F15248">
        <w:tc>
          <w:tcPr>
            <w:tcW w:w="3376" w:type="dxa"/>
          </w:tcPr>
          <w:p w14:paraId="3526B74C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Responsible Officer:</w:t>
            </w:r>
          </w:p>
          <w:p w14:paraId="2952AD10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</w:tcPr>
          <w:p w14:paraId="63C5F91B" w14:textId="51A77171" w:rsidR="00A160B2" w:rsidRPr="00D27959" w:rsidRDefault="0076571D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Patrick Flaherty – Chief Executive</w:t>
            </w:r>
            <w:r w:rsidR="00486CF5">
              <w:rPr>
                <w:rFonts w:cs="Arial"/>
              </w:rPr>
              <w:t xml:space="preserve"> (Head of Paid Services)</w:t>
            </w:r>
          </w:p>
          <w:p w14:paraId="3CF266C9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:rsidRPr="00D27959" w14:paraId="7AFCAE74" w14:textId="77777777" w:rsidTr="00F15248">
        <w:tc>
          <w:tcPr>
            <w:tcW w:w="3376" w:type="dxa"/>
          </w:tcPr>
          <w:p w14:paraId="4573497F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Exempt:</w:t>
            </w:r>
          </w:p>
          <w:p w14:paraId="72D771B0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</w:tcPr>
          <w:p w14:paraId="4E3163FF" w14:textId="70B001BB" w:rsidR="00A160B2" w:rsidRPr="00D27959" w:rsidRDefault="00A160B2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No</w:t>
            </w:r>
          </w:p>
          <w:p w14:paraId="57D61F9A" w14:textId="36A90B78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  <w:p w14:paraId="4C873B59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:rsidRPr="00D27959" w14:paraId="521D9222" w14:textId="77777777" w:rsidTr="00F15248">
        <w:tc>
          <w:tcPr>
            <w:tcW w:w="3376" w:type="dxa"/>
          </w:tcPr>
          <w:p w14:paraId="4ABD9246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Wards affected:</w:t>
            </w:r>
          </w:p>
          <w:p w14:paraId="65A16444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</w:tcPr>
          <w:p w14:paraId="6CD568AC" w14:textId="641AAB5B" w:rsidR="00A160B2" w:rsidRPr="00D27959" w:rsidRDefault="00A50B59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  <w:szCs w:val="24"/>
              </w:rPr>
              <w:t>N/a</w:t>
            </w:r>
          </w:p>
        </w:tc>
      </w:tr>
      <w:tr w:rsidR="00A160B2" w:rsidRPr="00D27959" w14:paraId="7C35C184" w14:textId="77777777" w:rsidTr="00F15248">
        <w:tc>
          <w:tcPr>
            <w:tcW w:w="3376" w:type="dxa"/>
          </w:tcPr>
          <w:p w14:paraId="537C01BC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  <w:p w14:paraId="575B6BE7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  <w:r w:rsidRPr="00D27959">
              <w:rPr>
                <w:rFonts w:cs="Arial"/>
              </w:rPr>
              <w:t>Enclosures:</w:t>
            </w:r>
          </w:p>
          <w:p w14:paraId="69475841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</w:tcPr>
          <w:p w14:paraId="71119F8F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  <w:p w14:paraId="4C232B02" w14:textId="04687705" w:rsidR="00CF6526" w:rsidRPr="00D27959" w:rsidRDefault="00A50B59" w:rsidP="00115089">
            <w:pPr>
              <w:pStyle w:val="Infotext"/>
              <w:rPr>
                <w:rFonts w:cs="Arial"/>
              </w:rPr>
            </w:pPr>
            <w:r>
              <w:rPr>
                <w:rFonts w:cs="Arial"/>
                <w:bCs/>
              </w:rPr>
              <w:t>None</w:t>
            </w:r>
          </w:p>
        </w:tc>
      </w:tr>
      <w:tr w:rsidR="00A160B2" w:rsidRPr="00D27959" w14:paraId="576A8326" w14:textId="77777777" w:rsidTr="00F15248">
        <w:tc>
          <w:tcPr>
            <w:tcW w:w="3376" w:type="dxa"/>
          </w:tcPr>
          <w:p w14:paraId="083D62A1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</w:tcPr>
          <w:p w14:paraId="35FD747C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:rsidRPr="00D27959" w14:paraId="3F1219AE" w14:textId="77777777" w:rsidTr="00F15248">
        <w:tc>
          <w:tcPr>
            <w:tcW w:w="3376" w:type="dxa"/>
          </w:tcPr>
          <w:p w14:paraId="097D2FFB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  <w:tc>
          <w:tcPr>
            <w:tcW w:w="4933" w:type="dxa"/>
          </w:tcPr>
          <w:p w14:paraId="65B72BA4" w14:textId="77777777" w:rsidR="00A160B2" w:rsidRPr="00D27959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451"/>
      </w:tblGrid>
      <w:tr w:rsidR="00A160B2" w:rsidRPr="00F15248" w14:paraId="332F8595" w14:textId="77777777" w:rsidTr="00B05F3D">
        <w:trPr>
          <w:tblHeader/>
        </w:trPr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Pr="00487008" w:rsidRDefault="00A160B2" w:rsidP="00912904">
            <w:pPr>
              <w:pStyle w:val="Heading2"/>
              <w:spacing w:before="240" w:after="240"/>
              <w:rPr>
                <w:rFonts w:ascii="Arial" w:hAnsi="Arial"/>
                <w:b/>
                <w:bCs w:val="0"/>
                <w:sz w:val="28"/>
                <w:szCs w:val="28"/>
              </w:rPr>
            </w:pPr>
            <w:r w:rsidRPr="00487008">
              <w:rPr>
                <w:rFonts w:ascii="Arial" w:hAnsi="Arial"/>
                <w:b/>
                <w:bCs w:val="0"/>
                <w:sz w:val="28"/>
                <w:szCs w:val="28"/>
              </w:rPr>
              <w:t>Section 1 – Summary and Recommendations</w:t>
            </w:r>
          </w:p>
        </w:tc>
      </w:tr>
      <w:tr w:rsidR="00A160B2" w:rsidRPr="00F15248" w14:paraId="281F4D12" w14:textId="77777777" w:rsidTr="00B05F3D">
        <w:trPr>
          <w:tblHeader/>
        </w:trPr>
        <w:tc>
          <w:tcPr>
            <w:tcW w:w="8451" w:type="dxa"/>
            <w:tcBorders>
              <w:left w:val="nil"/>
              <w:bottom w:val="nil"/>
              <w:right w:val="nil"/>
            </w:tcBorders>
          </w:tcPr>
          <w:p w14:paraId="68E4C6A4" w14:textId="77777777" w:rsidR="00CF6526" w:rsidRPr="00487008" w:rsidRDefault="00CF6526" w:rsidP="00CF6526">
            <w:pPr>
              <w:rPr>
                <w:rFonts w:cs="Arial"/>
                <w:szCs w:val="24"/>
              </w:rPr>
            </w:pPr>
          </w:p>
          <w:p w14:paraId="5686EB99" w14:textId="1A60A553" w:rsidR="00F50D64" w:rsidRPr="00487008" w:rsidRDefault="00F50D64" w:rsidP="00CF6526">
            <w:pPr>
              <w:rPr>
                <w:rFonts w:cs="Arial"/>
                <w:szCs w:val="24"/>
              </w:rPr>
            </w:pPr>
            <w:r w:rsidRPr="00487008">
              <w:rPr>
                <w:rFonts w:cs="Arial"/>
                <w:szCs w:val="24"/>
              </w:rPr>
              <w:t xml:space="preserve">This report sets out a summary of the </w:t>
            </w:r>
            <w:r w:rsidR="00D7238C" w:rsidRPr="00487008">
              <w:rPr>
                <w:rFonts w:cs="Arial"/>
                <w:szCs w:val="24"/>
              </w:rPr>
              <w:t>retrospective</w:t>
            </w:r>
            <w:r w:rsidRPr="00487008">
              <w:rPr>
                <w:rFonts w:cs="Arial"/>
                <w:szCs w:val="24"/>
              </w:rPr>
              <w:t xml:space="preserve"> remuneration packages </w:t>
            </w:r>
            <w:r w:rsidR="00B95333" w:rsidRPr="00487008">
              <w:rPr>
                <w:rFonts w:cs="Arial"/>
                <w:szCs w:val="24"/>
              </w:rPr>
              <w:t>approved by the Chief Officers’ Employment Panel (COEP) on 8 December 2022, in light to the payment package</w:t>
            </w:r>
            <w:r w:rsidR="00A50B59" w:rsidRPr="00487008">
              <w:rPr>
                <w:rFonts w:cs="Arial"/>
                <w:szCs w:val="24"/>
              </w:rPr>
              <w:t>s</w:t>
            </w:r>
            <w:r w:rsidR="00B95333" w:rsidRPr="00487008">
              <w:rPr>
                <w:rFonts w:cs="Arial"/>
                <w:szCs w:val="24"/>
              </w:rPr>
              <w:t xml:space="preserve"> amounting to £100,000 or greater, for</w:t>
            </w:r>
            <w:r w:rsidR="00D7238C" w:rsidRPr="00487008">
              <w:rPr>
                <w:rFonts w:cs="Arial"/>
                <w:szCs w:val="24"/>
              </w:rPr>
              <w:t xml:space="preserve"> </w:t>
            </w:r>
            <w:r w:rsidR="00A50B59" w:rsidRPr="00487008">
              <w:rPr>
                <w:rFonts w:cs="Arial"/>
                <w:szCs w:val="24"/>
              </w:rPr>
              <w:t xml:space="preserve">each of </w:t>
            </w:r>
            <w:r w:rsidR="00D7238C" w:rsidRPr="00487008">
              <w:rPr>
                <w:rFonts w:cs="Arial"/>
                <w:szCs w:val="24"/>
              </w:rPr>
              <w:t>the seven Senior Management positions within the People’s directorate, which were regraded to grade D1</w:t>
            </w:r>
            <w:r w:rsidR="00B95333" w:rsidRPr="00487008">
              <w:rPr>
                <w:rFonts w:cs="Arial"/>
                <w:szCs w:val="24"/>
              </w:rPr>
              <w:t>.</w:t>
            </w:r>
            <w:r w:rsidR="00D7238C" w:rsidRPr="00487008">
              <w:rPr>
                <w:rFonts w:cs="Arial"/>
                <w:szCs w:val="24"/>
              </w:rPr>
              <w:t xml:space="preserve"> </w:t>
            </w:r>
          </w:p>
          <w:p w14:paraId="2C9E4A81" w14:textId="77777777" w:rsidR="00A160B2" w:rsidRPr="00487008" w:rsidRDefault="00A160B2" w:rsidP="00CF6526">
            <w:pPr>
              <w:rPr>
                <w:rFonts w:cs="Arial"/>
                <w:b/>
                <w:szCs w:val="18"/>
              </w:rPr>
            </w:pPr>
          </w:p>
          <w:p w14:paraId="4B8E94B2" w14:textId="77777777" w:rsidR="00F573CB" w:rsidRDefault="00115089" w:rsidP="00F1524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 INFORMATION</w:t>
            </w:r>
          </w:p>
          <w:p w14:paraId="529C81DA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64C135F0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08AB854D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36BFA47C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73995A39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41B5324B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31435C59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5FFC9E64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5AB206F9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0F34D117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3694A14A" w14:textId="77777777" w:rsidR="00115089" w:rsidRDefault="00115089" w:rsidP="00F15248">
            <w:pPr>
              <w:rPr>
                <w:rFonts w:cs="Arial"/>
                <w:b/>
                <w:szCs w:val="24"/>
              </w:rPr>
            </w:pPr>
          </w:p>
          <w:p w14:paraId="714CBDEE" w14:textId="784628B5" w:rsidR="00115089" w:rsidRPr="00F15248" w:rsidRDefault="00115089" w:rsidP="00F15248">
            <w:pPr>
              <w:rPr>
                <w:rFonts w:cs="Arial"/>
                <w:szCs w:val="24"/>
              </w:rPr>
            </w:pPr>
          </w:p>
        </w:tc>
      </w:tr>
    </w:tbl>
    <w:p w14:paraId="53DC7DE2" w14:textId="77777777" w:rsidR="002A2389" w:rsidRPr="00487008" w:rsidRDefault="002A2389" w:rsidP="00A160B2">
      <w:pPr>
        <w:pStyle w:val="Heading2"/>
        <w:rPr>
          <w:rFonts w:ascii="Arial" w:hAnsi="Arial"/>
          <w:b/>
          <w:bCs w:val="0"/>
          <w:sz w:val="28"/>
          <w:szCs w:val="28"/>
        </w:rPr>
      </w:pPr>
      <w:r w:rsidRPr="00487008">
        <w:rPr>
          <w:rFonts w:ascii="Arial" w:hAnsi="Arial"/>
          <w:b/>
          <w:bCs w:val="0"/>
          <w:sz w:val="28"/>
          <w:szCs w:val="28"/>
        </w:rPr>
        <w:lastRenderedPageBreak/>
        <w:t>Section 2 – Report</w:t>
      </w:r>
    </w:p>
    <w:p w14:paraId="7321CBDD" w14:textId="77777777" w:rsidR="00F50D64" w:rsidRPr="00487008" w:rsidRDefault="00F50D64">
      <w:pPr>
        <w:rPr>
          <w:rFonts w:cs="Arial"/>
          <w:szCs w:val="18"/>
        </w:rPr>
      </w:pPr>
    </w:p>
    <w:p w14:paraId="5BF6B749" w14:textId="77777777" w:rsidR="00F50D64" w:rsidRPr="00487008" w:rsidRDefault="00F50D64" w:rsidP="00F50D64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>DCLG guidance (‘Openness and accountability in local pay: Guidance under section 40 of the Localism Act 2011’) states that that full Council should be asked to determine whether it wishes to vote on any remuneration package of £100,000pa or greater.</w:t>
      </w:r>
    </w:p>
    <w:p w14:paraId="22E25685" w14:textId="77777777" w:rsidR="00F50D64" w:rsidRPr="00487008" w:rsidRDefault="00F50D64" w:rsidP="00F50D64">
      <w:pPr>
        <w:ind w:left="-360"/>
        <w:rPr>
          <w:rFonts w:cs="Arial"/>
          <w:szCs w:val="18"/>
        </w:rPr>
      </w:pPr>
    </w:p>
    <w:p w14:paraId="601DEE7A" w14:textId="2A62B667" w:rsidR="00F50D64" w:rsidRPr="00487008" w:rsidRDefault="00F50D64" w:rsidP="00F50D64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>The Council delegates authority to the Chief Officers’ Employment Panel (‘COEP’) the determination of any remuneration package of £100,000, subject to all approvals being reported for information to full Council.</w:t>
      </w:r>
    </w:p>
    <w:p w14:paraId="14CDD1CC" w14:textId="77777777" w:rsidR="00B01DBE" w:rsidRPr="00487008" w:rsidRDefault="00B01DBE" w:rsidP="00B01DBE">
      <w:pPr>
        <w:pStyle w:val="ListParagraph"/>
        <w:rPr>
          <w:sz w:val="24"/>
          <w:szCs w:val="20"/>
        </w:rPr>
      </w:pPr>
    </w:p>
    <w:p w14:paraId="7CB3DDED" w14:textId="02806862" w:rsidR="00D27959" w:rsidRPr="00487008" w:rsidRDefault="00B01DBE" w:rsidP="00F50D64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>Between July 2020 and September 2021, seven Heads of Service roles were re-evaluated and regraded from grade MG4 to grade D1, within the Children and Adult divisions within the People’s directorate.</w:t>
      </w:r>
      <w:r w:rsidR="00D27959" w:rsidRPr="00487008">
        <w:rPr>
          <w:rFonts w:cs="Arial"/>
          <w:szCs w:val="18"/>
        </w:rPr>
        <w:t xml:space="preserve"> </w:t>
      </w:r>
      <w:r w:rsidR="0028253A" w:rsidRPr="00487008">
        <w:rPr>
          <w:rFonts w:cs="Arial"/>
          <w:szCs w:val="18"/>
        </w:rPr>
        <w:t xml:space="preserve">Approval of this grade were </w:t>
      </w:r>
      <w:r w:rsidR="00D7238C" w:rsidRPr="00487008">
        <w:rPr>
          <w:rFonts w:cs="Arial"/>
          <w:szCs w:val="18"/>
        </w:rPr>
        <w:t>retrospectively agreed at COEP on 8 December 2022.</w:t>
      </w:r>
      <w:r w:rsidR="0028253A" w:rsidRPr="00487008">
        <w:rPr>
          <w:rFonts w:cs="Arial"/>
          <w:szCs w:val="18"/>
        </w:rPr>
        <w:t xml:space="preserve">  </w:t>
      </w:r>
    </w:p>
    <w:p w14:paraId="1B55C762" w14:textId="77777777" w:rsidR="00D27959" w:rsidRPr="00487008" w:rsidRDefault="00D27959" w:rsidP="00D27959">
      <w:pPr>
        <w:pStyle w:val="ListParagraph"/>
        <w:rPr>
          <w:sz w:val="24"/>
          <w:szCs w:val="20"/>
        </w:rPr>
      </w:pPr>
    </w:p>
    <w:p w14:paraId="02BF22B9" w14:textId="66FBE3CF" w:rsidR="00D27959" w:rsidRPr="00487008" w:rsidRDefault="00D27959" w:rsidP="00D27959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 xml:space="preserve">The following roles were re-evaluated and </w:t>
      </w:r>
      <w:r w:rsidR="00C11E9D" w:rsidRPr="00487008">
        <w:rPr>
          <w:rFonts w:cs="Arial"/>
          <w:szCs w:val="18"/>
        </w:rPr>
        <w:t>re</w:t>
      </w:r>
      <w:r w:rsidRPr="00487008">
        <w:rPr>
          <w:rFonts w:cs="Arial"/>
          <w:szCs w:val="18"/>
        </w:rPr>
        <w:t>graded:</w:t>
      </w:r>
    </w:p>
    <w:p w14:paraId="6837FAB2" w14:textId="77777777" w:rsidR="00C11E9D" w:rsidRPr="00487008" w:rsidRDefault="00C11E9D" w:rsidP="00C11E9D">
      <w:pPr>
        <w:pStyle w:val="ListParagraph"/>
        <w:rPr>
          <w:sz w:val="24"/>
          <w:szCs w:val="20"/>
        </w:rPr>
      </w:pPr>
    </w:p>
    <w:p w14:paraId="132B6736" w14:textId="77777777" w:rsidR="00C11E9D" w:rsidRPr="00487008" w:rsidRDefault="00C11E9D" w:rsidP="00C11E9D">
      <w:pPr>
        <w:numPr>
          <w:ilvl w:val="0"/>
          <w:numId w:val="21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Children's Access</w:t>
      </w:r>
    </w:p>
    <w:p w14:paraId="0323509F" w14:textId="77777777" w:rsidR="00C11E9D" w:rsidRPr="00487008" w:rsidRDefault="00C11E9D" w:rsidP="00C11E9D">
      <w:pPr>
        <w:numPr>
          <w:ilvl w:val="0"/>
          <w:numId w:val="21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Children in Need</w:t>
      </w:r>
    </w:p>
    <w:p w14:paraId="7CD89A9B" w14:textId="77777777" w:rsidR="00C11E9D" w:rsidRPr="00487008" w:rsidRDefault="00C11E9D" w:rsidP="00C11E9D">
      <w:pPr>
        <w:numPr>
          <w:ilvl w:val="0"/>
          <w:numId w:val="21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Quality Standards &amp; Practice Improvement</w:t>
      </w:r>
    </w:p>
    <w:p w14:paraId="1CB02B04" w14:textId="77777777" w:rsidR="00C11E9D" w:rsidRPr="00487008" w:rsidRDefault="00C11E9D" w:rsidP="00C11E9D">
      <w:pPr>
        <w:numPr>
          <w:ilvl w:val="0"/>
          <w:numId w:val="21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Corporate Parenting</w:t>
      </w:r>
    </w:p>
    <w:p w14:paraId="2D6F08DA" w14:textId="09FF7A20" w:rsidR="00C11E9D" w:rsidRPr="00487008" w:rsidRDefault="00C11E9D" w:rsidP="00C11E9D">
      <w:pPr>
        <w:numPr>
          <w:ilvl w:val="0"/>
          <w:numId w:val="21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Early Help &amp; Youth Justice</w:t>
      </w:r>
    </w:p>
    <w:p w14:paraId="28FCE2DC" w14:textId="3F71DF88" w:rsidR="001D0B05" w:rsidRPr="00487008" w:rsidRDefault="001D0B05" w:rsidP="00C11E9D">
      <w:pPr>
        <w:numPr>
          <w:ilvl w:val="0"/>
          <w:numId w:val="21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Health &amp; Well-Being</w:t>
      </w:r>
    </w:p>
    <w:p w14:paraId="17B36937" w14:textId="77777777" w:rsidR="00C11E9D" w:rsidRPr="00487008" w:rsidRDefault="00C11E9D" w:rsidP="00C11E9D">
      <w:pPr>
        <w:numPr>
          <w:ilvl w:val="0"/>
          <w:numId w:val="21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Specialist Learning &amp; Disability and Children &amp; Young Adults with Disabilities</w:t>
      </w:r>
    </w:p>
    <w:p w14:paraId="3DE4C328" w14:textId="77777777" w:rsidR="00DE08F2" w:rsidRPr="00487008" w:rsidRDefault="00DE08F2" w:rsidP="00C11E9D">
      <w:pPr>
        <w:pStyle w:val="ListParagraph"/>
        <w:rPr>
          <w:sz w:val="24"/>
          <w:szCs w:val="20"/>
        </w:rPr>
      </w:pPr>
    </w:p>
    <w:p w14:paraId="44D15B31" w14:textId="1BA4497B" w:rsidR="00C11E9D" w:rsidRPr="00487008" w:rsidRDefault="00C11E9D" w:rsidP="00D27959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 xml:space="preserve">The current pay range for the grade D1 is </w:t>
      </w:r>
      <w:r w:rsidRPr="00487008">
        <w:rPr>
          <w:rFonts w:cs="Arial"/>
          <w:szCs w:val="24"/>
        </w:rPr>
        <w:t>£91,</w:t>
      </w:r>
      <w:r w:rsidR="00F11FDA">
        <w:rPr>
          <w:rFonts w:cs="Arial"/>
          <w:szCs w:val="24"/>
        </w:rPr>
        <w:t>353</w:t>
      </w:r>
      <w:r w:rsidRPr="00487008">
        <w:rPr>
          <w:rFonts w:cs="Arial"/>
          <w:szCs w:val="24"/>
        </w:rPr>
        <w:t xml:space="preserve"> - £107,</w:t>
      </w:r>
      <w:r w:rsidR="00F11FDA">
        <w:rPr>
          <w:rFonts w:cs="Arial"/>
          <w:szCs w:val="24"/>
        </w:rPr>
        <w:t>309</w:t>
      </w:r>
      <w:r w:rsidRPr="00487008">
        <w:rPr>
          <w:rFonts w:cs="Arial"/>
          <w:szCs w:val="24"/>
        </w:rPr>
        <w:t xml:space="preserve"> per annum.</w:t>
      </w:r>
      <w:r w:rsidR="00D17B78" w:rsidRPr="00487008">
        <w:rPr>
          <w:rFonts w:cs="Arial"/>
          <w:szCs w:val="24"/>
        </w:rPr>
        <w:t xml:space="preserve"> At present, </w:t>
      </w:r>
      <w:r w:rsidR="008A101A" w:rsidRPr="00487008">
        <w:rPr>
          <w:rFonts w:cs="Arial"/>
          <w:szCs w:val="24"/>
        </w:rPr>
        <w:t>the postholders annual salary is below £100,000</w:t>
      </w:r>
      <w:r w:rsidR="00A50B59" w:rsidRPr="00487008">
        <w:rPr>
          <w:rFonts w:cs="Arial"/>
          <w:szCs w:val="24"/>
        </w:rPr>
        <w:t>.</w:t>
      </w:r>
    </w:p>
    <w:p w14:paraId="562F4464" w14:textId="6E5F93D5" w:rsidR="001D0B05" w:rsidRPr="00487008" w:rsidRDefault="001D0B05" w:rsidP="00C11E9D">
      <w:pPr>
        <w:ind w:left="360"/>
        <w:rPr>
          <w:rFonts w:cs="Arial"/>
          <w:szCs w:val="18"/>
        </w:rPr>
      </w:pPr>
    </w:p>
    <w:p w14:paraId="63B7349C" w14:textId="5B1482FE" w:rsidR="001D0B05" w:rsidRPr="00487008" w:rsidRDefault="001D0B05" w:rsidP="00C11E9D">
      <w:p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>Adult Division:</w:t>
      </w:r>
    </w:p>
    <w:p w14:paraId="30E4D078" w14:textId="77777777" w:rsidR="001D0B05" w:rsidRPr="00487008" w:rsidRDefault="001D0B05" w:rsidP="00C11E9D">
      <w:pPr>
        <w:ind w:left="360"/>
        <w:rPr>
          <w:rFonts w:cs="Arial"/>
          <w:szCs w:val="18"/>
        </w:rPr>
      </w:pPr>
    </w:p>
    <w:p w14:paraId="58FFD756" w14:textId="08A3A870" w:rsidR="00DE3593" w:rsidRPr="00487008" w:rsidRDefault="00D7238C" w:rsidP="00CF78CF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 xml:space="preserve">In July 2020, the Head of Service role for Specialist Learning &amp; Disability and Children &amp; Young Adults with Disabilities (CYAD) was re-evaluated following the CYAD team being </w:t>
      </w:r>
      <w:r w:rsidR="00A50B59" w:rsidRPr="00487008">
        <w:rPr>
          <w:rFonts w:cs="Arial"/>
          <w:szCs w:val="18"/>
        </w:rPr>
        <w:t xml:space="preserve">moved </w:t>
      </w:r>
      <w:r w:rsidRPr="00487008">
        <w:rPr>
          <w:rFonts w:cs="Arial"/>
          <w:szCs w:val="18"/>
        </w:rPr>
        <w:t xml:space="preserve">from the Children’s division </w:t>
      </w:r>
      <w:r w:rsidR="00D6213B" w:rsidRPr="00487008">
        <w:rPr>
          <w:rFonts w:cs="Arial"/>
          <w:szCs w:val="18"/>
        </w:rPr>
        <w:t>in</w:t>
      </w:r>
      <w:r w:rsidRPr="00487008">
        <w:rPr>
          <w:rFonts w:cs="Arial"/>
          <w:szCs w:val="18"/>
        </w:rPr>
        <w:t xml:space="preserve">to the adult’s </w:t>
      </w:r>
      <w:r w:rsidR="00D6213B" w:rsidRPr="00487008">
        <w:rPr>
          <w:rFonts w:cs="Arial"/>
          <w:szCs w:val="18"/>
        </w:rPr>
        <w:t>establishment</w:t>
      </w:r>
      <w:r w:rsidRPr="00487008">
        <w:rPr>
          <w:rFonts w:cs="Arial"/>
          <w:szCs w:val="18"/>
        </w:rPr>
        <w:t xml:space="preserve">.  </w:t>
      </w:r>
      <w:bookmarkStart w:id="0" w:name="_Hlk127194544"/>
      <w:r w:rsidRPr="00487008">
        <w:rPr>
          <w:rFonts w:cs="Arial"/>
          <w:szCs w:val="18"/>
        </w:rPr>
        <w:t xml:space="preserve">Following the </w:t>
      </w:r>
      <w:r w:rsidR="001D0B05" w:rsidRPr="00487008">
        <w:rPr>
          <w:rFonts w:cs="Arial"/>
          <w:szCs w:val="18"/>
        </w:rPr>
        <w:t>re-evaluation,</w:t>
      </w:r>
      <w:r w:rsidRPr="00487008">
        <w:rPr>
          <w:rFonts w:cs="Arial"/>
          <w:szCs w:val="18"/>
        </w:rPr>
        <w:t xml:space="preserve"> the role was regraded to grade </w:t>
      </w:r>
      <w:r w:rsidR="00842754" w:rsidRPr="00842754">
        <w:rPr>
          <w:rFonts w:cs="Arial"/>
          <w:szCs w:val="18"/>
        </w:rPr>
        <w:t>D1,</w:t>
      </w:r>
      <w:r w:rsidRPr="00487008">
        <w:rPr>
          <w:rFonts w:cs="Arial"/>
          <w:szCs w:val="18"/>
        </w:rPr>
        <w:t xml:space="preserve"> and the job title changed to Assistant Director for LD &amp; CYAD</w:t>
      </w:r>
      <w:r w:rsidR="001D0B05" w:rsidRPr="00487008">
        <w:rPr>
          <w:rFonts w:cs="Arial"/>
          <w:szCs w:val="18"/>
        </w:rPr>
        <w:t>. The post holder was informed of the change and received a renumeration package of the D1 grade</w:t>
      </w:r>
      <w:r w:rsidR="008A101A" w:rsidRPr="00487008">
        <w:rPr>
          <w:rFonts w:cs="Arial"/>
          <w:szCs w:val="24"/>
        </w:rPr>
        <w:t xml:space="preserve"> plus</w:t>
      </w:r>
      <w:r w:rsidR="008A101A" w:rsidRPr="00487008">
        <w:rPr>
          <w:rFonts w:cs="Arial"/>
          <w:bCs/>
          <w:szCs w:val="18"/>
        </w:rPr>
        <w:t xml:space="preserve"> </w:t>
      </w:r>
      <w:r w:rsidR="008A101A" w:rsidRPr="00487008">
        <w:rPr>
          <w:rFonts w:cs="Arial"/>
          <w:szCs w:val="18"/>
        </w:rPr>
        <w:t>the employer’s Local Government Pension Scheme.  The current annual salary is</w:t>
      </w:r>
      <w:r w:rsidR="006604DC" w:rsidRPr="00487008">
        <w:rPr>
          <w:rFonts w:cs="Arial"/>
          <w:sz w:val="22"/>
          <w:szCs w:val="18"/>
        </w:rPr>
        <w:t xml:space="preserve"> </w:t>
      </w:r>
      <w:r w:rsidR="00B832C9" w:rsidRPr="00487008">
        <w:rPr>
          <w:rFonts w:cs="Arial"/>
          <w:szCs w:val="24"/>
        </w:rPr>
        <w:t>£98,47</w:t>
      </w:r>
      <w:r w:rsidR="00F11FDA">
        <w:rPr>
          <w:rFonts w:cs="Arial"/>
          <w:szCs w:val="24"/>
        </w:rPr>
        <w:t>2</w:t>
      </w:r>
      <w:r w:rsidR="00B832C9" w:rsidRPr="00487008">
        <w:rPr>
          <w:rFonts w:cs="Arial"/>
          <w:szCs w:val="24"/>
        </w:rPr>
        <w:t>.00</w:t>
      </w:r>
      <w:r w:rsidR="008A101A" w:rsidRPr="00487008">
        <w:rPr>
          <w:rFonts w:cs="Arial"/>
          <w:szCs w:val="24"/>
        </w:rPr>
        <w:t>.</w:t>
      </w:r>
      <w:r w:rsidR="007E48BF" w:rsidRPr="00487008">
        <w:rPr>
          <w:rFonts w:cs="Arial"/>
          <w:szCs w:val="18"/>
        </w:rPr>
        <w:t xml:space="preserve"> </w:t>
      </w:r>
    </w:p>
    <w:bookmarkEnd w:id="0"/>
    <w:p w14:paraId="2E69D196" w14:textId="77777777" w:rsidR="001D0B05" w:rsidRPr="00487008" w:rsidRDefault="001D0B05" w:rsidP="001D0B05">
      <w:pPr>
        <w:pStyle w:val="ListParagraph"/>
        <w:rPr>
          <w:sz w:val="24"/>
          <w:szCs w:val="20"/>
        </w:rPr>
      </w:pPr>
    </w:p>
    <w:p w14:paraId="04DC09E3" w14:textId="487F9371" w:rsidR="001D0B05" w:rsidRPr="00487008" w:rsidRDefault="001D0B05" w:rsidP="001D0B05">
      <w:pPr>
        <w:pStyle w:val="ListParagraph"/>
        <w:numPr>
          <w:ilvl w:val="0"/>
          <w:numId w:val="19"/>
        </w:numPr>
        <w:ind w:left="360"/>
        <w:rPr>
          <w:rFonts w:eastAsia="Times New Roman"/>
          <w:color w:val="auto"/>
          <w:sz w:val="24"/>
          <w:szCs w:val="18"/>
          <w:lang w:eastAsia="en-US"/>
        </w:rPr>
      </w:pPr>
      <w:r w:rsidRPr="00487008">
        <w:rPr>
          <w:sz w:val="24"/>
          <w:szCs w:val="20"/>
        </w:rPr>
        <w:t xml:space="preserve">In October 2020, the Head of Service for Health &amp; Well-Being role was re-evaluated as the current postholder requested </w:t>
      </w:r>
      <w:r w:rsidR="00A50B59" w:rsidRPr="00487008">
        <w:rPr>
          <w:sz w:val="24"/>
          <w:szCs w:val="20"/>
        </w:rPr>
        <w:t xml:space="preserve">that </w:t>
      </w:r>
      <w:r w:rsidRPr="00487008">
        <w:rPr>
          <w:sz w:val="24"/>
          <w:szCs w:val="20"/>
        </w:rPr>
        <w:t xml:space="preserve">their </w:t>
      </w:r>
      <w:r w:rsidR="00A50B59" w:rsidRPr="00487008">
        <w:rPr>
          <w:sz w:val="24"/>
          <w:szCs w:val="20"/>
        </w:rPr>
        <w:t>r</w:t>
      </w:r>
      <w:r w:rsidRPr="00487008">
        <w:rPr>
          <w:sz w:val="24"/>
          <w:szCs w:val="20"/>
        </w:rPr>
        <w:t>ole to be re-evaluated as they became the strategic lead for integrated services</w:t>
      </w:r>
      <w:r w:rsidR="00211491" w:rsidRPr="00487008">
        <w:rPr>
          <w:sz w:val="24"/>
          <w:szCs w:val="20"/>
        </w:rPr>
        <w:t>.</w:t>
      </w:r>
      <w:r w:rsidRPr="00487008">
        <w:rPr>
          <w:sz w:val="20"/>
          <w:szCs w:val="20"/>
        </w:rPr>
        <w:t xml:space="preserve"> </w:t>
      </w:r>
      <w:r w:rsidRPr="00487008">
        <w:rPr>
          <w:rFonts w:eastAsia="Times New Roman"/>
          <w:color w:val="auto"/>
          <w:sz w:val="24"/>
          <w:szCs w:val="18"/>
          <w:lang w:eastAsia="en-US"/>
        </w:rPr>
        <w:t xml:space="preserve">Following the re-evaluation, the role was regraded to grade </w:t>
      </w:r>
      <w:r w:rsidR="00B05F3D" w:rsidRPr="00B05F3D">
        <w:rPr>
          <w:rFonts w:eastAsia="Times New Roman"/>
          <w:color w:val="auto"/>
          <w:sz w:val="24"/>
          <w:szCs w:val="18"/>
          <w:lang w:eastAsia="en-US"/>
        </w:rPr>
        <w:t>D1,</w:t>
      </w:r>
      <w:r w:rsidRPr="00487008">
        <w:rPr>
          <w:rFonts w:eastAsia="Times New Roman"/>
          <w:color w:val="auto"/>
          <w:sz w:val="24"/>
          <w:szCs w:val="18"/>
          <w:lang w:eastAsia="en-US"/>
        </w:rPr>
        <w:t xml:space="preserve"> and the job title changed to Assistant Director for Health, Wellbeing and Integrated Care. The post holder was informed of the change and received a renumeration package of the D1 grade</w:t>
      </w:r>
      <w:r w:rsidR="006604DC" w:rsidRPr="00487008">
        <w:rPr>
          <w:rFonts w:eastAsia="Times New Roman"/>
          <w:color w:val="auto"/>
          <w:sz w:val="24"/>
          <w:szCs w:val="24"/>
          <w:lang w:eastAsia="en-US"/>
        </w:rPr>
        <w:t xml:space="preserve">, </w:t>
      </w:r>
      <w:r w:rsidR="002C6AD1" w:rsidRPr="00487008">
        <w:rPr>
          <w:rFonts w:eastAsia="Times New Roman"/>
          <w:color w:val="auto"/>
          <w:sz w:val="24"/>
          <w:szCs w:val="24"/>
          <w:lang w:eastAsia="en-US"/>
        </w:rPr>
        <w:t>£98,47</w:t>
      </w:r>
      <w:r w:rsidR="00F11FDA">
        <w:rPr>
          <w:rFonts w:eastAsia="Times New Roman"/>
          <w:color w:val="auto"/>
          <w:sz w:val="24"/>
          <w:szCs w:val="24"/>
          <w:lang w:eastAsia="en-US"/>
        </w:rPr>
        <w:t>2</w:t>
      </w:r>
      <w:r w:rsidR="002C6AD1" w:rsidRPr="00487008">
        <w:rPr>
          <w:rFonts w:eastAsia="Times New Roman"/>
          <w:color w:val="auto"/>
          <w:sz w:val="24"/>
          <w:szCs w:val="24"/>
          <w:lang w:eastAsia="en-US"/>
        </w:rPr>
        <w:t>.00</w:t>
      </w:r>
      <w:r w:rsidR="008A101A" w:rsidRPr="00487008">
        <w:rPr>
          <w:rFonts w:eastAsia="Times New Roman"/>
          <w:color w:val="auto"/>
          <w:sz w:val="24"/>
          <w:szCs w:val="24"/>
          <w:lang w:eastAsia="en-US"/>
        </w:rPr>
        <w:t xml:space="preserve"> per annum</w:t>
      </w:r>
      <w:r w:rsidR="002C6AD1" w:rsidRPr="00487008">
        <w:rPr>
          <w:rFonts w:eastAsia="Times New Roman"/>
          <w:color w:val="auto"/>
          <w:sz w:val="24"/>
          <w:szCs w:val="24"/>
          <w:lang w:eastAsia="en-US"/>
        </w:rPr>
        <w:t>,</w:t>
      </w:r>
      <w:r w:rsidR="002C6AD1" w:rsidRPr="00487008">
        <w:rPr>
          <w:rFonts w:eastAsia="Times New Roman"/>
          <w:color w:val="auto"/>
          <w:szCs w:val="18"/>
          <w:lang w:eastAsia="en-US"/>
        </w:rPr>
        <w:t xml:space="preserve"> </w:t>
      </w:r>
      <w:r w:rsidR="006604DC" w:rsidRPr="00487008">
        <w:rPr>
          <w:rFonts w:eastAsia="Times New Roman"/>
          <w:color w:val="auto"/>
          <w:sz w:val="24"/>
          <w:szCs w:val="18"/>
          <w:lang w:eastAsia="en-US"/>
        </w:rPr>
        <w:t>plus</w:t>
      </w:r>
      <w:r w:rsidR="006604DC" w:rsidRPr="00487008">
        <w:rPr>
          <w:rFonts w:eastAsia="Times New Roman"/>
          <w:bCs/>
          <w:color w:val="auto"/>
          <w:sz w:val="24"/>
          <w:szCs w:val="18"/>
          <w:lang w:eastAsia="en-US"/>
        </w:rPr>
        <w:t xml:space="preserve"> </w:t>
      </w:r>
      <w:r w:rsidR="006604DC" w:rsidRPr="00487008">
        <w:rPr>
          <w:rFonts w:eastAsia="Times New Roman"/>
          <w:color w:val="auto"/>
          <w:sz w:val="24"/>
          <w:szCs w:val="18"/>
          <w:lang w:eastAsia="en-US"/>
        </w:rPr>
        <w:t>the employer’s Local Government Pension Scheme</w:t>
      </w:r>
      <w:r w:rsidRPr="00487008">
        <w:rPr>
          <w:rFonts w:eastAsia="Times New Roman"/>
          <w:color w:val="auto"/>
          <w:sz w:val="24"/>
          <w:szCs w:val="18"/>
          <w:lang w:eastAsia="en-US"/>
        </w:rPr>
        <w:t>.</w:t>
      </w:r>
    </w:p>
    <w:p w14:paraId="654127C8" w14:textId="77777777" w:rsidR="001D0B05" w:rsidRPr="00487008" w:rsidRDefault="001D0B05" w:rsidP="001D0B05">
      <w:pPr>
        <w:pStyle w:val="ListParagraph"/>
        <w:ind w:left="360"/>
        <w:rPr>
          <w:rFonts w:eastAsia="Times New Roman"/>
          <w:color w:val="auto"/>
          <w:sz w:val="24"/>
          <w:szCs w:val="18"/>
          <w:lang w:eastAsia="en-US"/>
        </w:rPr>
      </w:pPr>
    </w:p>
    <w:p w14:paraId="19762A4A" w14:textId="0706D1F6" w:rsidR="001D0B05" w:rsidRPr="00487008" w:rsidRDefault="001D0B05" w:rsidP="001D0B05">
      <w:pPr>
        <w:pStyle w:val="ListParagraph"/>
        <w:ind w:left="360"/>
        <w:rPr>
          <w:rFonts w:eastAsia="Times New Roman"/>
          <w:color w:val="auto"/>
          <w:sz w:val="24"/>
          <w:szCs w:val="18"/>
          <w:lang w:eastAsia="en-US"/>
        </w:rPr>
      </w:pPr>
      <w:r w:rsidRPr="00487008">
        <w:rPr>
          <w:rFonts w:eastAsia="Times New Roman"/>
          <w:color w:val="auto"/>
          <w:sz w:val="24"/>
          <w:szCs w:val="18"/>
          <w:lang w:eastAsia="en-US"/>
        </w:rPr>
        <w:t>Children and Young people</w:t>
      </w:r>
      <w:r w:rsidR="009F13F3" w:rsidRPr="00487008">
        <w:rPr>
          <w:rFonts w:eastAsia="Times New Roman"/>
          <w:color w:val="auto"/>
          <w:sz w:val="24"/>
          <w:szCs w:val="18"/>
          <w:lang w:eastAsia="en-US"/>
        </w:rPr>
        <w:t xml:space="preserve"> Division:</w:t>
      </w:r>
    </w:p>
    <w:p w14:paraId="5DEF6451" w14:textId="77777777" w:rsidR="001D0B05" w:rsidRPr="00487008" w:rsidRDefault="001D0B05" w:rsidP="001D0B05">
      <w:pPr>
        <w:pStyle w:val="ListParagraph"/>
        <w:rPr>
          <w:rFonts w:eastAsia="Times New Roman"/>
          <w:color w:val="auto"/>
          <w:sz w:val="24"/>
          <w:szCs w:val="18"/>
          <w:lang w:eastAsia="en-US"/>
        </w:rPr>
      </w:pPr>
    </w:p>
    <w:p w14:paraId="1D03AD1E" w14:textId="7CB46E37" w:rsidR="00A05A91" w:rsidRPr="00487008" w:rsidRDefault="001D0B05" w:rsidP="00A05A91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lastRenderedPageBreak/>
        <w:t>In September</w:t>
      </w:r>
      <w:r w:rsidR="00A05A91" w:rsidRPr="00487008">
        <w:rPr>
          <w:rFonts w:cs="Arial"/>
          <w:szCs w:val="18"/>
        </w:rPr>
        <w:t xml:space="preserve"> 2021, the Director of Children </w:t>
      </w:r>
      <w:r w:rsidR="00A50B59" w:rsidRPr="00487008">
        <w:rPr>
          <w:rFonts w:cs="Arial"/>
          <w:szCs w:val="18"/>
        </w:rPr>
        <w:t xml:space="preserve">Services </w:t>
      </w:r>
      <w:r w:rsidR="00A05A91" w:rsidRPr="00487008">
        <w:rPr>
          <w:rFonts w:cs="Arial"/>
          <w:szCs w:val="18"/>
        </w:rPr>
        <w:t xml:space="preserve">put forward the following roles </w:t>
      </w:r>
      <w:r w:rsidR="00A50B59" w:rsidRPr="00487008">
        <w:rPr>
          <w:rFonts w:cs="Arial"/>
          <w:szCs w:val="18"/>
        </w:rPr>
        <w:t>for regrading</w:t>
      </w:r>
      <w:r w:rsidR="00A05A91" w:rsidRPr="00487008">
        <w:rPr>
          <w:rFonts w:cs="Arial"/>
          <w:szCs w:val="18"/>
        </w:rPr>
        <w:t>, in line with their counterparts in the adult’s division and to reflect internal changes to the roles:</w:t>
      </w:r>
    </w:p>
    <w:p w14:paraId="0EB5BB4F" w14:textId="77777777" w:rsidR="00A05A91" w:rsidRPr="00487008" w:rsidRDefault="00A05A91" w:rsidP="00A05A91">
      <w:pPr>
        <w:ind w:left="360"/>
        <w:rPr>
          <w:rFonts w:cs="Arial"/>
          <w:szCs w:val="18"/>
        </w:rPr>
      </w:pPr>
    </w:p>
    <w:p w14:paraId="0E03CC6B" w14:textId="311506E1" w:rsidR="00A05A91" w:rsidRPr="00487008" w:rsidRDefault="00A05A91" w:rsidP="00A05A91">
      <w:pPr>
        <w:numPr>
          <w:ilvl w:val="0"/>
          <w:numId w:val="22"/>
        </w:numPr>
        <w:rPr>
          <w:rFonts w:cs="Arial"/>
          <w:szCs w:val="18"/>
        </w:rPr>
      </w:pPr>
      <w:bookmarkStart w:id="1" w:name="_Hlk127195901"/>
      <w:r w:rsidRPr="00487008">
        <w:rPr>
          <w:rFonts w:cs="Arial"/>
          <w:szCs w:val="18"/>
        </w:rPr>
        <w:t>Head of Service: Children's Access</w:t>
      </w:r>
    </w:p>
    <w:p w14:paraId="42C5EE87" w14:textId="77777777" w:rsidR="00A05A91" w:rsidRPr="00487008" w:rsidRDefault="00A05A91" w:rsidP="00A05A91">
      <w:pPr>
        <w:numPr>
          <w:ilvl w:val="0"/>
          <w:numId w:val="22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Children in Need</w:t>
      </w:r>
    </w:p>
    <w:bookmarkEnd w:id="1"/>
    <w:p w14:paraId="3E5C79B9" w14:textId="6CDF89CE" w:rsidR="00A05A91" w:rsidRPr="00487008" w:rsidRDefault="00A05A91" w:rsidP="00A05A91">
      <w:pPr>
        <w:numPr>
          <w:ilvl w:val="0"/>
          <w:numId w:val="22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>Head of Service: Quality Standards &amp; Practice Improvement</w:t>
      </w:r>
    </w:p>
    <w:p w14:paraId="56B6A84F" w14:textId="77777777" w:rsidR="00A05A91" w:rsidRPr="00487008" w:rsidRDefault="00A05A91" w:rsidP="00A05A91">
      <w:pPr>
        <w:rPr>
          <w:rFonts w:cs="Arial"/>
          <w:szCs w:val="18"/>
        </w:rPr>
      </w:pPr>
    </w:p>
    <w:p w14:paraId="64FF8A31" w14:textId="5BA2F1EE" w:rsidR="00A05A91" w:rsidRPr="00487008" w:rsidRDefault="00A05A91" w:rsidP="00A05A91">
      <w:p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>Following the re-evaluation, the role</w:t>
      </w:r>
      <w:r w:rsidR="00A50B59" w:rsidRPr="00487008">
        <w:rPr>
          <w:rFonts w:cs="Arial"/>
          <w:szCs w:val="18"/>
        </w:rPr>
        <w:t>s</w:t>
      </w:r>
      <w:r w:rsidRPr="00487008">
        <w:rPr>
          <w:rFonts w:cs="Arial"/>
          <w:szCs w:val="18"/>
        </w:rPr>
        <w:t xml:space="preserve"> w</w:t>
      </w:r>
      <w:r w:rsidR="00A50B59" w:rsidRPr="00487008">
        <w:rPr>
          <w:rFonts w:cs="Arial"/>
          <w:szCs w:val="18"/>
        </w:rPr>
        <w:t>ere</w:t>
      </w:r>
      <w:r w:rsidRPr="00487008">
        <w:rPr>
          <w:rFonts w:cs="Arial"/>
          <w:szCs w:val="18"/>
        </w:rPr>
        <w:t xml:space="preserve"> regraded to grade </w:t>
      </w:r>
      <w:r w:rsidR="00B05F3D" w:rsidRPr="00B05F3D">
        <w:rPr>
          <w:rFonts w:cs="Arial"/>
          <w:szCs w:val="18"/>
        </w:rPr>
        <w:t>D1,</w:t>
      </w:r>
      <w:r w:rsidRPr="00487008">
        <w:rPr>
          <w:rFonts w:cs="Arial"/>
          <w:szCs w:val="18"/>
        </w:rPr>
        <w:t xml:space="preserve"> and the job </w:t>
      </w:r>
      <w:r w:rsidR="00DE08F2" w:rsidRPr="00487008">
        <w:rPr>
          <w:rFonts w:cs="Arial"/>
          <w:szCs w:val="18"/>
        </w:rPr>
        <w:t>titles</w:t>
      </w:r>
      <w:r w:rsidRPr="00487008">
        <w:rPr>
          <w:rFonts w:cs="Arial"/>
          <w:szCs w:val="18"/>
        </w:rPr>
        <w:t xml:space="preserve"> changed </w:t>
      </w:r>
      <w:r w:rsidR="00A50B59" w:rsidRPr="00487008">
        <w:rPr>
          <w:rFonts w:cs="Arial"/>
          <w:szCs w:val="18"/>
        </w:rPr>
        <w:t xml:space="preserve">to </w:t>
      </w:r>
      <w:r w:rsidRPr="00487008">
        <w:rPr>
          <w:rFonts w:cs="Arial"/>
          <w:szCs w:val="18"/>
        </w:rPr>
        <w:t>the following:</w:t>
      </w:r>
    </w:p>
    <w:p w14:paraId="61E98B54" w14:textId="77777777" w:rsidR="00A05A91" w:rsidRPr="00487008" w:rsidRDefault="00A05A91" w:rsidP="00A05A91">
      <w:pPr>
        <w:ind w:left="360"/>
        <w:rPr>
          <w:rFonts w:cs="Arial"/>
          <w:szCs w:val="18"/>
        </w:rPr>
      </w:pPr>
    </w:p>
    <w:p w14:paraId="462DD421" w14:textId="674E945C" w:rsidR="00DE08F2" w:rsidRPr="00487008" w:rsidRDefault="00A05A91" w:rsidP="00DE08F2">
      <w:pPr>
        <w:pStyle w:val="ListParagraph"/>
        <w:numPr>
          <w:ilvl w:val="0"/>
          <w:numId w:val="24"/>
        </w:numPr>
        <w:rPr>
          <w:sz w:val="24"/>
          <w:szCs w:val="20"/>
        </w:rPr>
      </w:pPr>
      <w:r w:rsidRPr="00487008">
        <w:rPr>
          <w:sz w:val="24"/>
          <w:szCs w:val="20"/>
        </w:rPr>
        <w:t xml:space="preserve">Assistant Director for </w:t>
      </w:r>
      <w:r w:rsidR="00DE08F2" w:rsidRPr="00487008">
        <w:rPr>
          <w:sz w:val="24"/>
          <w:szCs w:val="20"/>
        </w:rPr>
        <w:t>Contact and Assessment</w:t>
      </w:r>
    </w:p>
    <w:p w14:paraId="573F1199" w14:textId="74832D50" w:rsidR="00DE08F2" w:rsidRPr="00487008" w:rsidRDefault="00DE08F2" w:rsidP="00DE08F2">
      <w:pPr>
        <w:pStyle w:val="ListParagraph"/>
        <w:numPr>
          <w:ilvl w:val="0"/>
          <w:numId w:val="24"/>
        </w:numPr>
        <w:rPr>
          <w:sz w:val="24"/>
          <w:szCs w:val="20"/>
        </w:rPr>
      </w:pPr>
      <w:bookmarkStart w:id="2" w:name="_Hlk127195616"/>
      <w:r w:rsidRPr="00487008">
        <w:rPr>
          <w:sz w:val="24"/>
          <w:szCs w:val="20"/>
        </w:rPr>
        <w:t>Assistant Director for Children Safeguarding</w:t>
      </w:r>
    </w:p>
    <w:p w14:paraId="77F1D8CD" w14:textId="6641D845" w:rsidR="00A05A91" w:rsidRPr="00487008" w:rsidRDefault="00DE08F2" w:rsidP="008901C8">
      <w:pPr>
        <w:pStyle w:val="ListParagraph"/>
        <w:numPr>
          <w:ilvl w:val="0"/>
          <w:numId w:val="24"/>
        </w:numPr>
        <w:rPr>
          <w:sz w:val="24"/>
          <w:szCs w:val="20"/>
        </w:rPr>
      </w:pPr>
      <w:r w:rsidRPr="00487008">
        <w:rPr>
          <w:sz w:val="24"/>
          <w:szCs w:val="20"/>
        </w:rPr>
        <w:t>Assistant Director for Quality Standards and Improvement</w:t>
      </w:r>
    </w:p>
    <w:bookmarkEnd w:id="2"/>
    <w:p w14:paraId="0712C682" w14:textId="77777777" w:rsidR="00DE08F2" w:rsidRPr="00487008" w:rsidRDefault="00DE08F2" w:rsidP="00DE08F2">
      <w:pPr>
        <w:pStyle w:val="ListParagraph"/>
        <w:ind w:left="1080"/>
        <w:rPr>
          <w:sz w:val="24"/>
          <w:szCs w:val="20"/>
        </w:rPr>
      </w:pPr>
    </w:p>
    <w:p w14:paraId="49C96943" w14:textId="2C4D6DE0" w:rsidR="00DE08F2" w:rsidRPr="00487008" w:rsidRDefault="00DE08F2" w:rsidP="005D585F">
      <w:p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 xml:space="preserve">The post holder Assistant Director for Children Safeguarding, </w:t>
      </w:r>
      <w:r w:rsidR="00211491" w:rsidRPr="00487008">
        <w:rPr>
          <w:rFonts w:cs="Arial"/>
          <w:szCs w:val="18"/>
        </w:rPr>
        <w:t xml:space="preserve">received a renumeration package </w:t>
      </w:r>
      <w:r w:rsidR="005D585F" w:rsidRPr="00487008">
        <w:rPr>
          <w:rFonts w:cs="Arial"/>
          <w:szCs w:val="18"/>
        </w:rPr>
        <w:t>£98,</w:t>
      </w:r>
      <w:r w:rsidR="00F11FDA" w:rsidRPr="00487008">
        <w:rPr>
          <w:rFonts w:cs="Arial"/>
          <w:szCs w:val="18"/>
        </w:rPr>
        <w:t>47</w:t>
      </w:r>
      <w:r w:rsidR="00F11FDA">
        <w:rPr>
          <w:rFonts w:cs="Arial"/>
          <w:szCs w:val="18"/>
        </w:rPr>
        <w:t>2</w:t>
      </w:r>
      <w:r w:rsidR="007B4458" w:rsidRPr="00487008">
        <w:rPr>
          <w:rFonts w:cs="Arial"/>
          <w:szCs w:val="18"/>
        </w:rPr>
        <w:t xml:space="preserve">per annum, </w:t>
      </w:r>
      <w:r w:rsidR="005D585F" w:rsidRPr="00487008">
        <w:rPr>
          <w:rFonts w:cs="Arial"/>
          <w:szCs w:val="18"/>
        </w:rPr>
        <w:t>plus</w:t>
      </w:r>
      <w:r w:rsidR="005D585F" w:rsidRPr="00487008">
        <w:rPr>
          <w:rFonts w:cs="Arial"/>
          <w:bCs/>
          <w:szCs w:val="18"/>
        </w:rPr>
        <w:t xml:space="preserve"> </w:t>
      </w:r>
      <w:r w:rsidR="005D585F" w:rsidRPr="00487008">
        <w:rPr>
          <w:rFonts w:cs="Arial"/>
          <w:szCs w:val="18"/>
        </w:rPr>
        <w:t>the employer’s Local Government Pension Scheme</w:t>
      </w:r>
      <w:r w:rsidR="00A50B59" w:rsidRPr="00487008">
        <w:rPr>
          <w:rFonts w:cs="Arial"/>
          <w:szCs w:val="18"/>
        </w:rPr>
        <w:t xml:space="preserve">. The </w:t>
      </w:r>
      <w:r w:rsidRPr="00487008">
        <w:rPr>
          <w:rFonts w:cs="Arial"/>
          <w:szCs w:val="18"/>
        </w:rPr>
        <w:t>Assistant Director for Quality Standards and Improvement received a renumeration package of the D1 grade</w:t>
      </w:r>
      <w:r w:rsidR="00E25F98" w:rsidRPr="00487008">
        <w:rPr>
          <w:rFonts w:cs="Arial"/>
          <w:sz w:val="22"/>
          <w:szCs w:val="18"/>
        </w:rPr>
        <w:t xml:space="preserve"> </w:t>
      </w:r>
      <w:r w:rsidR="00E25F98" w:rsidRPr="00487008">
        <w:rPr>
          <w:rFonts w:cs="Arial"/>
          <w:szCs w:val="18"/>
        </w:rPr>
        <w:t>£98,47</w:t>
      </w:r>
      <w:r w:rsidR="00F11FDA">
        <w:rPr>
          <w:rFonts w:cs="Arial"/>
          <w:szCs w:val="18"/>
        </w:rPr>
        <w:t>2</w:t>
      </w:r>
      <w:r w:rsidR="007B4458" w:rsidRPr="00487008">
        <w:rPr>
          <w:rFonts w:cs="Arial"/>
          <w:szCs w:val="18"/>
        </w:rPr>
        <w:t xml:space="preserve"> per annum,</w:t>
      </w:r>
      <w:r w:rsidR="006604DC" w:rsidRPr="00487008">
        <w:rPr>
          <w:rFonts w:cs="Arial"/>
          <w:sz w:val="22"/>
          <w:szCs w:val="18"/>
        </w:rPr>
        <w:t xml:space="preserve"> </w:t>
      </w:r>
      <w:bookmarkStart w:id="3" w:name="_Hlk127198319"/>
      <w:r w:rsidR="006604DC" w:rsidRPr="00487008">
        <w:rPr>
          <w:rFonts w:cs="Arial"/>
          <w:szCs w:val="18"/>
        </w:rPr>
        <w:t>plus</w:t>
      </w:r>
      <w:r w:rsidR="006604DC" w:rsidRPr="00487008">
        <w:rPr>
          <w:rFonts w:cs="Arial"/>
          <w:bCs/>
          <w:szCs w:val="18"/>
        </w:rPr>
        <w:t xml:space="preserve"> </w:t>
      </w:r>
      <w:r w:rsidR="006604DC" w:rsidRPr="00487008">
        <w:rPr>
          <w:rFonts w:cs="Arial"/>
          <w:szCs w:val="18"/>
        </w:rPr>
        <w:t>the employer’s Local Government Pension Scheme</w:t>
      </w:r>
      <w:r w:rsidR="00A50B59" w:rsidRPr="00487008">
        <w:rPr>
          <w:rFonts w:cs="Arial"/>
          <w:szCs w:val="18"/>
        </w:rPr>
        <w:t xml:space="preserve"> and both post holders were informed of the change.</w:t>
      </w:r>
      <w:bookmarkEnd w:id="3"/>
    </w:p>
    <w:p w14:paraId="18175EA9" w14:textId="77777777" w:rsidR="00DE08F2" w:rsidRPr="00487008" w:rsidRDefault="00DE08F2" w:rsidP="00DE08F2">
      <w:pPr>
        <w:ind w:left="360"/>
        <w:rPr>
          <w:rFonts w:cs="Arial"/>
          <w:szCs w:val="18"/>
        </w:rPr>
      </w:pPr>
    </w:p>
    <w:p w14:paraId="787F0772" w14:textId="317D0677" w:rsidR="00DE08F2" w:rsidRPr="00487008" w:rsidRDefault="00AA0593" w:rsidP="00DE08F2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 xml:space="preserve">The </w:t>
      </w:r>
      <w:r w:rsidR="00DE08F2" w:rsidRPr="00487008">
        <w:rPr>
          <w:rFonts w:cs="Arial"/>
          <w:szCs w:val="18"/>
        </w:rPr>
        <w:t>Assistant Director for Contact and Assessment</w:t>
      </w:r>
      <w:r w:rsidRPr="00487008">
        <w:rPr>
          <w:rFonts w:cs="Arial"/>
          <w:szCs w:val="18"/>
        </w:rPr>
        <w:t xml:space="preserve"> position was covered by an interim</w:t>
      </w:r>
      <w:r w:rsidR="00A50B59" w:rsidRPr="00487008">
        <w:rPr>
          <w:rFonts w:cs="Arial"/>
          <w:szCs w:val="18"/>
        </w:rPr>
        <w:t xml:space="preserve"> post holder</w:t>
      </w:r>
      <w:r w:rsidRPr="00487008">
        <w:rPr>
          <w:rFonts w:cs="Arial"/>
          <w:szCs w:val="18"/>
        </w:rPr>
        <w:t xml:space="preserve">, at the point of the </w:t>
      </w:r>
      <w:r w:rsidR="00A50B59" w:rsidRPr="00487008">
        <w:rPr>
          <w:rFonts w:cs="Arial"/>
          <w:szCs w:val="18"/>
        </w:rPr>
        <w:t>re-</w:t>
      </w:r>
      <w:r w:rsidRPr="00487008">
        <w:rPr>
          <w:rFonts w:cs="Arial"/>
          <w:szCs w:val="18"/>
        </w:rPr>
        <w:t xml:space="preserve">evaluation. In </w:t>
      </w:r>
      <w:r w:rsidR="00244A70" w:rsidRPr="00487008">
        <w:rPr>
          <w:rFonts w:cs="Arial"/>
          <w:szCs w:val="18"/>
        </w:rPr>
        <w:t xml:space="preserve">April 2022, </w:t>
      </w:r>
      <w:r w:rsidR="00A50B59" w:rsidRPr="00487008">
        <w:rPr>
          <w:rFonts w:cs="Arial"/>
          <w:szCs w:val="18"/>
        </w:rPr>
        <w:t>the interim post holder was</w:t>
      </w:r>
      <w:r w:rsidR="00244A70" w:rsidRPr="00487008">
        <w:rPr>
          <w:rFonts w:cs="Arial"/>
          <w:szCs w:val="18"/>
        </w:rPr>
        <w:t xml:space="preserve"> appointed </w:t>
      </w:r>
      <w:r w:rsidR="00A50B59" w:rsidRPr="00487008">
        <w:rPr>
          <w:rFonts w:cs="Arial"/>
          <w:szCs w:val="18"/>
        </w:rPr>
        <w:t>as</w:t>
      </w:r>
      <w:r w:rsidR="00244A70" w:rsidRPr="00487008">
        <w:rPr>
          <w:rFonts w:cs="Arial"/>
          <w:szCs w:val="18"/>
        </w:rPr>
        <w:t xml:space="preserve"> Assistant Director for Contact and Assessment</w:t>
      </w:r>
      <w:r w:rsidR="00DE08F2" w:rsidRPr="00487008">
        <w:rPr>
          <w:rFonts w:cs="Arial"/>
          <w:szCs w:val="18"/>
        </w:rPr>
        <w:t xml:space="preserve"> with a renumeration package of </w:t>
      </w:r>
      <w:r w:rsidR="005873C6" w:rsidRPr="00487008">
        <w:rPr>
          <w:rFonts w:cs="Arial"/>
          <w:szCs w:val="18"/>
        </w:rPr>
        <w:t>£95,31</w:t>
      </w:r>
      <w:r w:rsidR="00F11FDA">
        <w:rPr>
          <w:rFonts w:cs="Arial"/>
          <w:szCs w:val="18"/>
        </w:rPr>
        <w:t>2</w:t>
      </w:r>
      <w:r w:rsidR="005873C6" w:rsidRPr="00487008">
        <w:rPr>
          <w:rFonts w:cs="Arial"/>
          <w:szCs w:val="18"/>
        </w:rPr>
        <w:t>.00</w:t>
      </w:r>
      <w:r w:rsidR="007B4458" w:rsidRPr="00487008">
        <w:rPr>
          <w:rFonts w:cs="Arial"/>
          <w:szCs w:val="18"/>
        </w:rPr>
        <w:t xml:space="preserve"> per annum</w:t>
      </w:r>
      <w:r w:rsidR="00244A70" w:rsidRPr="00487008">
        <w:rPr>
          <w:rFonts w:cs="Arial"/>
          <w:szCs w:val="18"/>
        </w:rPr>
        <w:t>, plus the employer’s Local Government Pension Scheme.</w:t>
      </w:r>
    </w:p>
    <w:p w14:paraId="06741D77" w14:textId="77777777" w:rsidR="00DE08F2" w:rsidRPr="00487008" w:rsidRDefault="00DE08F2" w:rsidP="00DE08F2">
      <w:pPr>
        <w:ind w:left="360"/>
        <w:rPr>
          <w:rFonts w:cs="Arial"/>
          <w:szCs w:val="18"/>
        </w:rPr>
      </w:pPr>
    </w:p>
    <w:p w14:paraId="11665C7A" w14:textId="0BFD7847" w:rsidR="00DE08F2" w:rsidRPr="00487008" w:rsidRDefault="00DE08F2" w:rsidP="00DE08F2">
      <w:pPr>
        <w:numPr>
          <w:ilvl w:val="0"/>
          <w:numId w:val="19"/>
        </w:num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>In September 2021</w:t>
      </w:r>
      <w:r w:rsidR="00D06DB8" w:rsidRPr="00487008">
        <w:rPr>
          <w:rFonts w:cs="Arial"/>
          <w:szCs w:val="18"/>
        </w:rPr>
        <w:t xml:space="preserve"> the Director of Children services put forward the following roles </w:t>
      </w:r>
      <w:r w:rsidR="00A50B59" w:rsidRPr="00487008">
        <w:rPr>
          <w:rFonts w:cs="Arial"/>
          <w:szCs w:val="18"/>
        </w:rPr>
        <w:t>for re-evaluation</w:t>
      </w:r>
      <w:r w:rsidR="00D06DB8" w:rsidRPr="00487008">
        <w:rPr>
          <w:rFonts w:cs="Arial"/>
          <w:szCs w:val="18"/>
        </w:rPr>
        <w:t xml:space="preserve">, in line with their counterparts </w:t>
      </w:r>
      <w:r w:rsidR="00A8551B" w:rsidRPr="00487008">
        <w:rPr>
          <w:rFonts w:cs="Arial"/>
          <w:szCs w:val="18"/>
        </w:rPr>
        <w:t>with</w:t>
      </w:r>
      <w:r w:rsidR="00D06DB8" w:rsidRPr="00487008">
        <w:rPr>
          <w:rFonts w:cs="Arial"/>
          <w:szCs w:val="18"/>
        </w:rPr>
        <w:t xml:space="preserve">in the </w:t>
      </w:r>
      <w:r w:rsidR="00A8551B" w:rsidRPr="00487008">
        <w:rPr>
          <w:rFonts w:cs="Arial"/>
          <w:szCs w:val="18"/>
        </w:rPr>
        <w:t>A</w:t>
      </w:r>
      <w:r w:rsidR="00D06DB8" w:rsidRPr="00487008">
        <w:rPr>
          <w:rFonts w:cs="Arial"/>
          <w:szCs w:val="18"/>
        </w:rPr>
        <w:t xml:space="preserve">dult’s </w:t>
      </w:r>
      <w:r w:rsidR="00A8551B" w:rsidRPr="00487008">
        <w:rPr>
          <w:rFonts w:cs="Arial"/>
          <w:szCs w:val="18"/>
        </w:rPr>
        <w:t xml:space="preserve">and Children’s </w:t>
      </w:r>
      <w:r w:rsidR="00D06DB8" w:rsidRPr="00487008">
        <w:rPr>
          <w:rFonts w:cs="Arial"/>
          <w:szCs w:val="18"/>
        </w:rPr>
        <w:t>division and to reflect internal changes to the roles:</w:t>
      </w:r>
    </w:p>
    <w:p w14:paraId="4DE8F120" w14:textId="77777777" w:rsidR="00DE08F2" w:rsidRPr="00487008" w:rsidRDefault="00DE08F2" w:rsidP="00DE08F2">
      <w:pPr>
        <w:pStyle w:val="ListParagraph"/>
        <w:rPr>
          <w:sz w:val="24"/>
          <w:szCs w:val="20"/>
        </w:rPr>
      </w:pPr>
    </w:p>
    <w:p w14:paraId="6A790291" w14:textId="7868A238" w:rsidR="00DE08F2" w:rsidRPr="00487008" w:rsidRDefault="00DE08F2" w:rsidP="00DE08F2">
      <w:pPr>
        <w:numPr>
          <w:ilvl w:val="0"/>
          <w:numId w:val="22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 xml:space="preserve">Head of Service: </w:t>
      </w:r>
      <w:r w:rsidR="009F13F3" w:rsidRPr="00487008">
        <w:rPr>
          <w:rFonts w:cs="Arial"/>
          <w:szCs w:val="18"/>
        </w:rPr>
        <w:t>Corporate Parenting</w:t>
      </w:r>
    </w:p>
    <w:p w14:paraId="3F646D29" w14:textId="759840E4" w:rsidR="00DE08F2" w:rsidRPr="00487008" w:rsidRDefault="00DE08F2" w:rsidP="00DE08F2">
      <w:pPr>
        <w:numPr>
          <w:ilvl w:val="0"/>
          <w:numId w:val="22"/>
        </w:numPr>
        <w:rPr>
          <w:rFonts w:cs="Arial"/>
          <w:szCs w:val="18"/>
        </w:rPr>
      </w:pPr>
      <w:r w:rsidRPr="00487008">
        <w:rPr>
          <w:rFonts w:cs="Arial"/>
          <w:szCs w:val="18"/>
        </w:rPr>
        <w:t xml:space="preserve">Head of Service: </w:t>
      </w:r>
      <w:r w:rsidR="009F13F3" w:rsidRPr="00487008">
        <w:rPr>
          <w:rFonts w:cs="Arial"/>
          <w:szCs w:val="18"/>
        </w:rPr>
        <w:t>Early Help and Youth Justice</w:t>
      </w:r>
    </w:p>
    <w:p w14:paraId="5C84B03F" w14:textId="77777777" w:rsidR="009F13F3" w:rsidRPr="00487008" w:rsidRDefault="009F13F3" w:rsidP="009F13F3">
      <w:pPr>
        <w:ind w:left="360"/>
        <w:rPr>
          <w:rFonts w:cs="Arial"/>
          <w:szCs w:val="18"/>
        </w:rPr>
      </w:pPr>
    </w:p>
    <w:p w14:paraId="0B1377BE" w14:textId="08EFC818" w:rsidR="009F13F3" w:rsidRPr="00487008" w:rsidRDefault="009F13F3" w:rsidP="009F13F3">
      <w:pPr>
        <w:ind w:left="360"/>
        <w:rPr>
          <w:rFonts w:cs="Arial"/>
          <w:szCs w:val="18"/>
        </w:rPr>
      </w:pPr>
      <w:r w:rsidRPr="00487008">
        <w:rPr>
          <w:rFonts w:cs="Arial"/>
          <w:szCs w:val="18"/>
        </w:rPr>
        <w:t>Following the re-evaluation, the role</w:t>
      </w:r>
      <w:r w:rsidR="00A50B59" w:rsidRPr="00487008">
        <w:rPr>
          <w:rFonts w:cs="Arial"/>
          <w:szCs w:val="18"/>
        </w:rPr>
        <w:t>s</w:t>
      </w:r>
      <w:r w:rsidRPr="00487008">
        <w:rPr>
          <w:rFonts w:cs="Arial"/>
          <w:szCs w:val="18"/>
        </w:rPr>
        <w:t xml:space="preserve"> </w:t>
      </w:r>
      <w:r w:rsidR="00A50B59" w:rsidRPr="00487008">
        <w:rPr>
          <w:rFonts w:cs="Arial"/>
          <w:szCs w:val="18"/>
        </w:rPr>
        <w:t xml:space="preserve">were </w:t>
      </w:r>
      <w:r w:rsidRPr="00487008">
        <w:rPr>
          <w:rFonts w:cs="Arial"/>
          <w:szCs w:val="18"/>
        </w:rPr>
        <w:t xml:space="preserve">regraded to grade D1 and the job titles changed </w:t>
      </w:r>
      <w:r w:rsidR="00A50B59" w:rsidRPr="00487008">
        <w:rPr>
          <w:rFonts w:cs="Arial"/>
          <w:szCs w:val="18"/>
        </w:rPr>
        <w:t xml:space="preserve">to </w:t>
      </w:r>
      <w:r w:rsidRPr="00487008">
        <w:rPr>
          <w:rFonts w:cs="Arial"/>
          <w:szCs w:val="18"/>
        </w:rPr>
        <w:t>the following:</w:t>
      </w:r>
    </w:p>
    <w:p w14:paraId="04E57CDC" w14:textId="77777777" w:rsidR="009F13F3" w:rsidRPr="00487008" w:rsidRDefault="009F13F3" w:rsidP="009F13F3">
      <w:pPr>
        <w:ind w:left="360"/>
        <w:rPr>
          <w:rFonts w:cs="Arial"/>
          <w:szCs w:val="18"/>
        </w:rPr>
      </w:pPr>
    </w:p>
    <w:p w14:paraId="72F3A650" w14:textId="229FB3CF" w:rsidR="009F13F3" w:rsidRPr="00487008" w:rsidRDefault="009F13F3" w:rsidP="009F13F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87008">
        <w:rPr>
          <w:sz w:val="24"/>
          <w:szCs w:val="20"/>
        </w:rPr>
        <w:t xml:space="preserve">Assistant Director for </w:t>
      </w:r>
      <w:r w:rsidRPr="00487008">
        <w:rPr>
          <w:sz w:val="24"/>
          <w:szCs w:val="24"/>
        </w:rPr>
        <w:t>Corporate Parenting</w:t>
      </w:r>
    </w:p>
    <w:p w14:paraId="08403337" w14:textId="2C642F22" w:rsidR="009F13F3" w:rsidRPr="00487008" w:rsidRDefault="009F13F3" w:rsidP="009F13F3">
      <w:pPr>
        <w:pStyle w:val="ListParagraph"/>
        <w:numPr>
          <w:ilvl w:val="0"/>
          <w:numId w:val="24"/>
        </w:numPr>
        <w:rPr>
          <w:sz w:val="24"/>
          <w:szCs w:val="20"/>
        </w:rPr>
      </w:pPr>
      <w:r w:rsidRPr="00487008">
        <w:rPr>
          <w:sz w:val="24"/>
          <w:szCs w:val="24"/>
        </w:rPr>
        <w:t>Assistant Director for Early Help and Youth</w:t>
      </w:r>
      <w:r w:rsidRPr="00487008">
        <w:rPr>
          <w:sz w:val="24"/>
          <w:szCs w:val="20"/>
        </w:rPr>
        <w:t xml:space="preserve"> Justice</w:t>
      </w:r>
    </w:p>
    <w:p w14:paraId="1B707E60" w14:textId="77777777" w:rsidR="009F13F3" w:rsidRPr="00487008" w:rsidRDefault="009F13F3" w:rsidP="009F13F3">
      <w:pPr>
        <w:ind w:left="1080"/>
        <w:rPr>
          <w:rFonts w:cs="Arial"/>
          <w:szCs w:val="18"/>
        </w:rPr>
      </w:pPr>
    </w:p>
    <w:p w14:paraId="3F25CEB4" w14:textId="2162DFC8" w:rsidR="00DE08F2" w:rsidRDefault="007B4458" w:rsidP="007B28E7">
      <w:pPr>
        <w:rPr>
          <w:rFonts w:cs="Arial"/>
          <w:szCs w:val="18"/>
        </w:rPr>
      </w:pPr>
      <w:r w:rsidRPr="00487008">
        <w:rPr>
          <w:rFonts w:cs="Arial"/>
          <w:szCs w:val="18"/>
        </w:rPr>
        <w:t>The Assistant Director for Corporate Parenting</w:t>
      </w:r>
      <w:r w:rsidR="009F13F3" w:rsidRPr="00487008">
        <w:rPr>
          <w:rFonts w:cs="Arial"/>
          <w:szCs w:val="18"/>
        </w:rPr>
        <w:t xml:space="preserve"> </w:t>
      </w:r>
      <w:r w:rsidR="007B28E7" w:rsidRPr="00487008">
        <w:rPr>
          <w:rFonts w:cs="Arial"/>
          <w:szCs w:val="18"/>
        </w:rPr>
        <w:t xml:space="preserve">received a renumeration package </w:t>
      </w:r>
      <w:r w:rsidR="00A82CA1" w:rsidRPr="00487008">
        <w:rPr>
          <w:rFonts w:cs="Arial"/>
          <w:szCs w:val="18"/>
        </w:rPr>
        <w:t xml:space="preserve">of </w:t>
      </w:r>
      <w:r w:rsidR="00EA09DE" w:rsidRPr="00487008">
        <w:rPr>
          <w:rFonts w:cs="Arial"/>
          <w:szCs w:val="18"/>
        </w:rPr>
        <w:t>£95,31</w:t>
      </w:r>
      <w:r w:rsidR="00F11FDA">
        <w:rPr>
          <w:rFonts w:cs="Arial"/>
          <w:szCs w:val="18"/>
        </w:rPr>
        <w:t>2</w:t>
      </w:r>
      <w:r w:rsidR="00EA09DE" w:rsidRPr="00487008">
        <w:rPr>
          <w:rFonts w:cs="Arial"/>
          <w:szCs w:val="18"/>
        </w:rPr>
        <w:t>.00</w:t>
      </w:r>
      <w:r w:rsidR="007B28E7" w:rsidRPr="00487008">
        <w:rPr>
          <w:rFonts w:cs="Arial"/>
          <w:szCs w:val="18"/>
        </w:rPr>
        <w:t xml:space="preserve"> </w:t>
      </w:r>
      <w:r w:rsidR="00A82CA1" w:rsidRPr="00487008">
        <w:rPr>
          <w:rFonts w:cs="Arial"/>
          <w:szCs w:val="18"/>
        </w:rPr>
        <w:t xml:space="preserve">per annum, </w:t>
      </w:r>
      <w:r w:rsidR="007B28E7" w:rsidRPr="00487008">
        <w:rPr>
          <w:rFonts w:cs="Arial"/>
          <w:szCs w:val="18"/>
        </w:rPr>
        <w:t xml:space="preserve">plus </w:t>
      </w:r>
      <w:r w:rsidR="00A82CA1" w:rsidRPr="00487008">
        <w:rPr>
          <w:rFonts w:cs="Arial"/>
          <w:szCs w:val="18"/>
        </w:rPr>
        <w:t>the employer’s Local Government Pension Scheme</w:t>
      </w:r>
      <w:r w:rsidR="00A50B59" w:rsidRPr="00487008">
        <w:rPr>
          <w:rFonts w:cs="Arial"/>
          <w:szCs w:val="18"/>
        </w:rPr>
        <w:t xml:space="preserve">. The </w:t>
      </w:r>
      <w:r w:rsidR="009F13F3" w:rsidRPr="00487008">
        <w:rPr>
          <w:rFonts w:cs="Arial"/>
          <w:szCs w:val="18"/>
        </w:rPr>
        <w:t>Assistant Director for Early Help and Youth Justice received a renumeration package of the D1 grade.</w:t>
      </w:r>
      <w:r w:rsidR="00805479" w:rsidRPr="00487008">
        <w:rPr>
          <w:rFonts w:cs="Arial"/>
          <w:sz w:val="22"/>
          <w:szCs w:val="18"/>
        </w:rPr>
        <w:t xml:space="preserve"> </w:t>
      </w:r>
      <w:r w:rsidR="00805479" w:rsidRPr="00487008">
        <w:rPr>
          <w:rFonts w:cs="Arial"/>
          <w:szCs w:val="18"/>
        </w:rPr>
        <w:t>£95,31</w:t>
      </w:r>
      <w:r w:rsidR="00F11FDA">
        <w:rPr>
          <w:rFonts w:cs="Arial"/>
          <w:szCs w:val="18"/>
        </w:rPr>
        <w:t>2</w:t>
      </w:r>
      <w:r w:rsidR="00805479" w:rsidRPr="00487008">
        <w:rPr>
          <w:rFonts w:cs="Arial"/>
          <w:szCs w:val="18"/>
        </w:rPr>
        <w:t>.</w:t>
      </w:r>
      <w:commentRangeStart w:id="4"/>
      <w:r w:rsidR="00805479" w:rsidRPr="00487008">
        <w:rPr>
          <w:rFonts w:cs="Arial"/>
          <w:szCs w:val="18"/>
        </w:rPr>
        <w:t>00</w:t>
      </w:r>
      <w:commentRangeEnd w:id="4"/>
      <w:r w:rsidR="00A613D8">
        <w:rPr>
          <w:rStyle w:val="CommentReference"/>
        </w:rPr>
        <w:commentReference w:id="4"/>
      </w:r>
      <w:r w:rsidR="00A82CA1" w:rsidRPr="00487008">
        <w:rPr>
          <w:rFonts w:cs="Arial"/>
          <w:szCs w:val="18"/>
        </w:rPr>
        <w:t xml:space="preserve"> the employer’s Local Government Pension Scheme</w:t>
      </w:r>
      <w:r w:rsidR="00A50B59" w:rsidRPr="00487008">
        <w:rPr>
          <w:rFonts w:cs="Arial"/>
          <w:szCs w:val="18"/>
        </w:rPr>
        <w:t xml:space="preserve"> and both post holders were informed of the change.</w:t>
      </w:r>
    </w:p>
    <w:p w14:paraId="32E23CB6" w14:textId="2C1A9EAB" w:rsidR="00115089" w:rsidRDefault="00115089" w:rsidP="007B28E7">
      <w:pPr>
        <w:rPr>
          <w:rFonts w:cs="Arial"/>
          <w:szCs w:val="18"/>
        </w:rPr>
      </w:pPr>
    </w:p>
    <w:p w14:paraId="1445D7A5" w14:textId="566EA065" w:rsidR="00115089" w:rsidRDefault="00115089" w:rsidP="007B28E7">
      <w:pPr>
        <w:rPr>
          <w:rFonts w:cs="Arial"/>
          <w:szCs w:val="18"/>
        </w:rPr>
      </w:pPr>
    </w:p>
    <w:p w14:paraId="6D0C1928" w14:textId="77777777" w:rsidR="00115089" w:rsidRPr="00487008" w:rsidRDefault="00115089" w:rsidP="007B28E7">
      <w:pPr>
        <w:rPr>
          <w:rFonts w:cs="Arial"/>
          <w:szCs w:val="18"/>
        </w:rPr>
      </w:pPr>
    </w:p>
    <w:p w14:paraId="3469E0D9" w14:textId="77777777" w:rsidR="00213BE7" w:rsidRPr="00487008" w:rsidRDefault="00213BE7" w:rsidP="00213BE7">
      <w:pPr>
        <w:pStyle w:val="Heading2"/>
        <w:rPr>
          <w:rFonts w:ascii="Arial" w:hAnsi="Arial"/>
          <w:b/>
          <w:bCs w:val="0"/>
          <w:sz w:val="28"/>
          <w:szCs w:val="28"/>
        </w:rPr>
      </w:pPr>
      <w:r w:rsidRPr="00487008">
        <w:rPr>
          <w:rFonts w:ascii="Arial" w:hAnsi="Arial"/>
          <w:b/>
          <w:bCs w:val="0"/>
          <w:sz w:val="28"/>
          <w:szCs w:val="28"/>
        </w:rPr>
        <w:lastRenderedPageBreak/>
        <w:t>Legal Implications</w:t>
      </w:r>
    </w:p>
    <w:p w14:paraId="69D57441" w14:textId="77777777" w:rsidR="00F27332" w:rsidRPr="00487008" w:rsidRDefault="00F27332" w:rsidP="009F13F3">
      <w:pPr>
        <w:rPr>
          <w:rFonts w:cs="Arial"/>
          <w:szCs w:val="18"/>
        </w:rPr>
      </w:pPr>
    </w:p>
    <w:p w14:paraId="7E2AD83C" w14:textId="04A5DB29" w:rsidR="009F13F3" w:rsidRPr="00487008" w:rsidRDefault="00F27332" w:rsidP="009F13F3">
      <w:pPr>
        <w:rPr>
          <w:rFonts w:cs="Arial"/>
          <w:szCs w:val="18"/>
        </w:rPr>
      </w:pPr>
      <w:r w:rsidRPr="00487008">
        <w:rPr>
          <w:rFonts w:cs="Arial"/>
          <w:szCs w:val="18"/>
        </w:rPr>
        <w:t>The postholders have been issued with new contracts of employment reflecting their new D1 grades, which are binding on both the individuals and the Council.</w:t>
      </w:r>
    </w:p>
    <w:p w14:paraId="10A6B407" w14:textId="77777777" w:rsidR="00E36D78" w:rsidRPr="00487008" w:rsidRDefault="00E36D78" w:rsidP="00E36D78">
      <w:pPr>
        <w:pStyle w:val="Heading2"/>
        <w:rPr>
          <w:rFonts w:ascii="Arial" w:hAnsi="Arial"/>
          <w:sz w:val="24"/>
          <w:szCs w:val="28"/>
        </w:rPr>
      </w:pPr>
      <w:r w:rsidRPr="00487008">
        <w:rPr>
          <w:rFonts w:ascii="Arial" w:hAnsi="Arial"/>
          <w:sz w:val="24"/>
          <w:szCs w:val="28"/>
        </w:rPr>
        <w:t xml:space="preserve">In accordance with the instruction the COEP applied the renumeration packages for the Council posts as set out below. </w:t>
      </w:r>
    </w:p>
    <w:p w14:paraId="66552763" w14:textId="63DF0721" w:rsidR="00E36D78" w:rsidRPr="00487008" w:rsidRDefault="00E36D78" w:rsidP="00E36D78">
      <w:pPr>
        <w:pStyle w:val="Heading2"/>
        <w:spacing w:after="240"/>
        <w:rPr>
          <w:rFonts w:ascii="Arial" w:hAnsi="Arial"/>
          <w:sz w:val="24"/>
          <w:szCs w:val="28"/>
        </w:rPr>
      </w:pPr>
      <w:r w:rsidRPr="00487008">
        <w:rPr>
          <w:rFonts w:ascii="Arial" w:hAnsi="Arial"/>
          <w:sz w:val="24"/>
          <w:szCs w:val="28"/>
        </w:rPr>
        <w:t>In accordance with the Constitution, this Panel is required to approve remuneration package</w:t>
      </w:r>
      <w:r w:rsidR="00EC369D" w:rsidRPr="00487008">
        <w:rPr>
          <w:rFonts w:ascii="Arial" w:hAnsi="Arial"/>
          <w:sz w:val="24"/>
          <w:szCs w:val="28"/>
        </w:rPr>
        <w:t>s</w:t>
      </w:r>
      <w:r w:rsidRPr="00487008">
        <w:rPr>
          <w:rFonts w:ascii="Arial" w:hAnsi="Arial"/>
          <w:sz w:val="24"/>
          <w:szCs w:val="28"/>
        </w:rPr>
        <w:t xml:space="preserve"> of £100,000 or over for a Council Post. </w:t>
      </w:r>
    </w:p>
    <w:p w14:paraId="656122E1" w14:textId="77777777" w:rsidR="00E36D78" w:rsidRPr="00487008" w:rsidRDefault="00E36D78" w:rsidP="00E36D78">
      <w:pPr>
        <w:pStyle w:val="Heading2"/>
        <w:spacing w:after="240"/>
        <w:rPr>
          <w:rFonts w:ascii="Arial" w:hAnsi="Arial"/>
          <w:sz w:val="24"/>
          <w:szCs w:val="28"/>
        </w:rPr>
      </w:pPr>
      <w:r w:rsidRPr="00487008">
        <w:rPr>
          <w:rFonts w:ascii="Arial" w:hAnsi="Arial"/>
          <w:sz w:val="24"/>
          <w:szCs w:val="28"/>
        </w:rPr>
        <w:t xml:space="preserve">The Panel is required to report back to Council for information purposes on all such approved remuneration packages. </w:t>
      </w:r>
    </w:p>
    <w:p w14:paraId="12C05521" w14:textId="77777777" w:rsidR="00E36D78" w:rsidRPr="00487008" w:rsidRDefault="00E36D78" w:rsidP="00E36D78">
      <w:pPr>
        <w:pStyle w:val="Heading2"/>
        <w:spacing w:after="240"/>
        <w:rPr>
          <w:rFonts w:ascii="Arial" w:hAnsi="Arial"/>
          <w:sz w:val="24"/>
          <w:szCs w:val="28"/>
        </w:rPr>
      </w:pPr>
      <w:r w:rsidRPr="00487008">
        <w:rPr>
          <w:rFonts w:ascii="Arial" w:hAnsi="Arial"/>
          <w:sz w:val="24"/>
          <w:szCs w:val="28"/>
        </w:rPr>
        <w:t>Harrow Council’s Pay Policy Statement 2019 provides that: 'All employees, including Chief Officers, are normally appointed on the lowest pay spine column point for their job evaluated grade.  In exceptional circumstance, employees may be appointed at a higher point within the evaluated grade. The Council may apply market supplement payments to jobs with recruitment or retention difficulties.’</w:t>
      </w:r>
    </w:p>
    <w:p w14:paraId="41BB405D" w14:textId="5069C85E" w:rsidR="002A2389" w:rsidRPr="00487008" w:rsidRDefault="002A2389" w:rsidP="003D2FFE">
      <w:pPr>
        <w:pStyle w:val="Heading2"/>
        <w:spacing w:after="240"/>
        <w:rPr>
          <w:rFonts w:ascii="Arial" w:hAnsi="Arial"/>
          <w:b/>
          <w:bCs w:val="0"/>
          <w:sz w:val="28"/>
          <w:szCs w:val="28"/>
        </w:rPr>
      </w:pPr>
      <w:r w:rsidRPr="00487008">
        <w:rPr>
          <w:rFonts w:ascii="Arial" w:hAnsi="Arial"/>
          <w:b/>
          <w:bCs w:val="0"/>
          <w:sz w:val="28"/>
          <w:szCs w:val="28"/>
        </w:rPr>
        <w:t>Financial Implications</w:t>
      </w:r>
    </w:p>
    <w:p w14:paraId="26645EDF" w14:textId="65501DAB" w:rsidR="009F13F3" w:rsidRPr="00487008" w:rsidRDefault="009F13F3" w:rsidP="009F13F3">
      <w:pPr>
        <w:rPr>
          <w:szCs w:val="24"/>
        </w:rPr>
      </w:pPr>
      <w:r w:rsidRPr="00487008">
        <w:rPr>
          <w:szCs w:val="24"/>
        </w:rPr>
        <w:t>Based on the D1 of the seven Assistant Director post, the total cost of these new roles is £</w:t>
      </w:r>
      <w:r w:rsidR="00AC0FE6" w:rsidRPr="00487008">
        <w:rPr>
          <w:szCs w:val="24"/>
        </w:rPr>
        <w:t>679,8</w:t>
      </w:r>
      <w:r w:rsidR="00F11FDA">
        <w:rPr>
          <w:szCs w:val="24"/>
        </w:rPr>
        <w:t>24</w:t>
      </w:r>
      <w:r w:rsidRPr="00487008">
        <w:rPr>
          <w:szCs w:val="24"/>
        </w:rPr>
        <w:t xml:space="preserve">. </w:t>
      </w:r>
    </w:p>
    <w:p w14:paraId="05389478" w14:textId="66A47CA9" w:rsidR="009F13F3" w:rsidRPr="00487008" w:rsidRDefault="009F13F3" w:rsidP="009F13F3">
      <w:pPr>
        <w:rPr>
          <w:szCs w:val="24"/>
        </w:rPr>
      </w:pPr>
    </w:p>
    <w:p w14:paraId="4F4F3AA8" w14:textId="7CB9DEB9" w:rsidR="009F13F3" w:rsidRPr="00487008" w:rsidRDefault="009F13F3" w:rsidP="009F13F3">
      <w:pPr>
        <w:rPr>
          <w:szCs w:val="24"/>
        </w:rPr>
      </w:pPr>
      <w:r w:rsidRPr="00487008">
        <w:rPr>
          <w:szCs w:val="24"/>
        </w:rPr>
        <w:t>Adult</w:t>
      </w:r>
      <w:r w:rsidR="008B446D" w:rsidRPr="00487008">
        <w:rPr>
          <w:szCs w:val="24"/>
        </w:rPr>
        <w:t>’</w:t>
      </w:r>
      <w:r w:rsidRPr="00487008">
        <w:rPr>
          <w:szCs w:val="24"/>
        </w:rPr>
        <w:t>s Division:</w:t>
      </w:r>
    </w:p>
    <w:p w14:paraId="12630D09" w14:textId="7CF7D2A1" w:rsidR="009F13F3" w:rsidRPr="00487008" w:rsidRDefault="009F13F3" w:rsidP="009F13F3">
      <w:pPr>
        <w:rPr>
          <w:szCs w:val="24"/>
        </w:rPr>
      </w:pPr>
    </w:p>
    <w:p w14:paraId="4A586BD0" w14:textId="4D8F171E" w:rsidR="009F13F3" w:rsidRPr="00487008" w:rsidRDefault="009F13F3" w:rsidP="009F13F3">
      <w:pPr>
        <w:rPr>
          <w:szCs w:val="24"/>
        </w:rPr>
      </w:pPr>
      <w:r w:rsidRPr="00487008">
        <w:rPr>
          <w:szCs w:val="24"/>
        </w:rPr>
        <w:t>The total cost for adults is</w:t>
      </w:r>
      <w:r w:rsidR="00CE3786" w:rsidRPr="00487008">
        <w:rPr>
          <w:szCs w:val="24"/>
        </w:rPr>
        <w:t xml:space="preserve"> £</w:t>
      </w:r>
      <w:r w:rsidR="00F11FDA">
        <w:rPr>
          <w:szCs w:val="24"/>
        </w:rPr>
        <w:t>196,944</w:t>
      </w:r>
    </w:p>
    <w:p w14:paraId="7CCF8008" w14:textId="3F6FBD13" w:rsidR="009F13F3" w:rsidRPr="00487008" w:rsidRDefault="009F13F3" w:rsidP="009F13F3">
      <w:pPr>
        <w:rPr>
          <w:szCs w:val="24"/>
        </w:rPr>
      </w:pPr>
    </w:p>
    <w:p w14:paraId="3CB559A5" w14:textId="40B924EF" w:rsidR="009F13F3" w:rsidRPr="00487008" w:rsidRDefault="009F13F3" w:rsidP="009F13F3">
      <w:pPr>
        <w:rPr>
          <w:szCs w:val="24"/>
        </w:rPr>
      </w:pPr>
      <w:r w:rsidRPr="00487008">
        <w:rPr>
          <w:szCs w:val="24"/>
        </w:rPr>
        <w:t>There is budget provision for the two roles within the adult’s division</w:t>
      </w:r>
    </w:p>
    <w:p w14:paraId="2A934FD5" w14:textId="706A56F2" w:rsidR="009F13F3" w:rsidRPr="00487008" w:rsidRDefault="009F13F3" w:rsidP="009F13F3">
      <w:pPr>
        <w:rPr>
          <w:szCs w:val="24"/>
        </w:rPr>
      </w:pPr>
    </w:p>
    <w:p w14:paraId="3A968770" w14:textId="155B2A31" w:rsidR="009F13F3" w:rsidRPr="00487008" w:rsidRDefault="009F13F3" w:rsidP="009F13F3">
      <w:pPr>
        <w:rPr>
          <w:szCs w:val="24"/>
        </w:rPr>
      </w:pPr>
      <w:r w:rsidRPr="00487008">
        <w:rPr>
          <w:szCs w:val="24"/>
        </w:rPr>
        <w:t>Children</w:t>
      </w:r>
      <w:r w:rsidR="008B446D" w:rsidRPr="00487008">
        <w:rPr>
          <w:szCs w:val="24"/>
        </w:rPr>
        <w:t>’s Division</w:t>
      </w:r>
    </w:p>
    <w:p w14:paraId="5FB9484F" w14:textId="6217E413" w:rsidR="009F13F3" w:rsidRPr="00487008" w:rsidRDefault="009F13F3" w:rsidP="009F13F3">
      <w:pPr>
        <w:rPr>
          <w:szCs w:val="24"/>
        </w:rPr>
      </w:pPr>
    </w:p>
    <w:p w14:paraId="4995A3E3" w14:textId="33D4C29D" w:rsidR="009F13F3" w:rsidRPr="00487008" w:rsidRDefault="009F13F3" w:rsidP="009F13F3">
      <w:pPr>
        <w:rPr>
          <w:szCs w:val="24"/>
        </w:rPr>
      </w:pPr>
      <w:r w:rsidRPr="00487008">
        <w:rPr>
          <w:szCs w:val="24"/>
        </w:rPr>
        <w:t>The total cost for the Children’s division is</w:t>
      </w:r>
      <w:r w:rsidR="00CE3786" w:rsidRPr="00487008">
        <w:rPr>
          <w:szCs w:val="24"/>
        </w:rPr>
        <w:t xml:space="preserve"> £</w:t>
      </w:r>
      <w:r w:rsidR="00F11FDA">
        <w:rPr>
          <w:szCs w:val="24"/>
        </w:rPr>
        <w:t>482,880</w:t>
      </w:r>
    </w:p>
    <w:p w14:paraId="1CA66B9B" w14:textId="377ADB19" w:rsidR="009F13F3" w:rsidRPr="00487008" w:rsidRDefault="009F13F3" w:rsidP="009F13F3">
      <w:pPr>
        <w:rPr>
          <w:szCs w:val="24"/>
        </w:rPr>
      </w:pPr>
    </w:p>
    <w:p w14:paraId="6A687E4E" w14:textId="3D96A894" w:rsidR="00435A0B" w:rsidRDefault="00A7066A" w:rsidP="00435A0B">
      <w:r w:rsidRPr="00487008">
        <w:rPr>
          <w:szCs w:val="24"/>
        </w:rPr>
        <w:t>For the 5 posts in the Children’s Service, there is  budget provision</w:t>
      </w:r>
      <w:r w:rsidR="00003568">
        <w:rPr>
          <w:szCs w:val="24"/>
        </w:rPr>
        <w:t xml:space="preserve"> for the posts at their previous grade of MG4 but there is no budget provision for the uplift  to D1.</w:t>
      </w:r>
      <w:r w:rsidRPr="00487008">
        <w:rPr>
          <w:szCs w:val="24"/>
        </w:rPr>
        <w:t xml:space="preserve"> The posts are held against the management budget which is forecasting a budget pressure </w:t>
      </w:r>
      <w:r w:rsidRPr="00435A0B">
        <w:rPr>
          <w:szCs w:val="24"/>
        </w:rPr>
        <w:t>of £150k as</w:t>
      </w:r>
      <w:r w:rsidRPr="00487008">
        <w:rPr>
          <w:szCs w:val="24"/>
        </w:rPr>
        <w:t xml:space="preserve"> at quarter </w:t>
      </w:r>
      <w:r w:rsidR="00003568">
        <w:rPr>
          <w:szCs w:val="24"/>
        </w:rPr>
        <w:t>3</w:t>
      </w:r>
      <w:r w:rsidRPr="00487008">
        <w:rPr>
          <w:szCs w:val="24"/>
        </w:rPr>
        <w:t xml:space="preserve">, which feeds into the overall forecast overspend against the Children’s budget </w:t>
      </w:r>
      <w:r w:rsidRPr="00435A0B">
        <w:rPr>
          <w:szCs w:val="24"/>
        </w:rPr>
        <w:t xml:space="preserve">of </w:t>
      </w:r>
      <w:r w:rsidR="00435A0B" w:rsidRPr="00C332C9">
        <w:t>£345k after draw down from reserves</w:t>
      </w:r>
      <w:r w:rsidR="00435A0B" w:rsidRPr="00435A0B">
        <w:t>.</w:t>
      </w:r>
    </w:p>
    <w:p w14:paraId="25AE8EE8" w14:textId="77777777" w:rsidR="00435A0B" w:rsidRDefault="00435A0B" w:rsidP="00435A0B">
      <w:pPr>
        <w:rPr>
          <w:rFonts w:cs="Arial"/>
          <w:szCs w:val="24"/>
        </w:rPr>
      </w:pPr>
    </w:p>
    <w:p w14:paraId="5ACE80EE" w14:textId="77777777" w:rsidR="00C32DAE" w:rsidRPr="002E60F8" w:rsidRDefault="00C32DAE" w:rsidP="00435A0B">
      <w:pPr>
        <w:rPr>
          <w:b/>
          <w:bCs/>
        </w:rPr>
      </w:pPr>
      <w:r w:rsidRPr="002E60F8">
        <w:rPr>
          <w:b/>
        </w:rPr>
        <w:t>Risk Management Implications</w:t>
      </w:r>
    </w:p>
    <w:p w14:paraId="33541738" w14:textId="42D7A5D0" w:rsidR="00570F59" w:rsidRPr="00F15248" w:rsidRDefault="00570F59" w:rsidP="00B05F3D">
      <w:pPr>
        <w:ind w:left="555" w:right="75" w:hanging="555"/>
        <w:textAlignment w:val="baseline"/>
        <w:rPr>
          <w:rFonts w:cs="Arial"/>
          <w:szCs w:val="24"/>
          <w:lang w:eastAsia="en-GB"/>
        </w:rPr>
      </w:pPr>
      <w:r w:rsidRPr="00EC369D">
        <w:rPr>
          <w:rFonts w:cs="Arial"/>
          <w:szCs w:val="24"/>
          <w:lang w:val="en-US" w:eastAsia="en-GB"/>
        </w:rPr>
        <w:t>Risks included on corporate or directorate risk register? </w:t>
      </w:r>
      <w:r w:rsidRPr="00EC369D">
        <w:rPr>
          <w:rFonts w:cs="Arial"/>
          <w:b/>
          <w:bCs/>
          <w:szCs w:val="24"/>
          <w:lang w:val="en-US" w:eastAsia="en-GB"/>
        </w:rPr>
        <w:t>No</w:t>
      </w:r>
      <w:r w:rsidRPr="00EC369D">
        <w:rPr>
          <w:rFonts w:cs="Arial"/>
          <w:szCs w:val="24"/>
          <w:lang w:val="en-US" w:eastAsia="en-GB"/>
        </w:rPr>
        <w:t> </w:t>
      </w:r>
      <w:r w:rsidRPr="00EC369D">
        <w:rPr>
          <w:rFonts w:cs="Arial"/>
          <w:color w:val="0000FF"/>
          <w:szCs w:val="24"/>
          <w:lang w:eastAsia="en-GB"/>
        </w:rPr>
        <w:t> </w:t>
      </w:r>
    </w:p>
    <w:p w14:paraId="3C0B834E" w14:textId="77777777" w:rsidR="00570F59" w:rsidRPr="00F15248" w:rsidRDefault="00570F59" w:rsidP="00570F59">
      <w:pPr>
        <w:ind w:left="-150" w:right="135"/>
        <w:textAlignment w:val="baseline"/>
        <w:rPr>
          <w:rFonts w:cs="Arial"/>
          <w:szCs w:val="24"/>
          <w:lang w:eastAsia="en-GB"/>
        </w:rPr>
      </w:pPr>
      <w:r w:rsidRPr="00EC369D">
        <w:rPr>
          <w:rFonts w:cs="Arial"/>
          <w:szCs w:val="24"/>
          <w:lang w:val="en-US" w:eastAsia="en-GB"/>
        </w:rPr>
        <w:t>  </w:t>
      </w:r>
      <w:r w:rsidRPr="00EC369D">
        <w:rPr>
          <w:rFonts w:cs="Arial"/>
          <w:szCs w:val="24"/>
          <w:lang w:eastAsia="en-GB"/>
        </w:rPr>
        <w:t> </w:t>
      </w:r>
    </w:p>
    <w:p w14:paraId="20B91783" w14:textId="088016E9" w:rsidR="00570F59" w:rsidRPr="00F15248" w:rsidRDefault="00570F59" w:rsidP="00570F59">
      <w:pPr>
        <w:ind w:left="-150" w:right="135" w:firstLine="135"/>
        <w:textAlignment w:val="baseline"/>
        <w:rPr>
          <w:rFonts w:cs="Arial"/>
          <w:szCs w:val="24"/>
          <w:lang w:eastAsia="en-GB"/>
        </w:rPr>
      </w:pPr>
      <w:r w:rsidRPr="00EC369D">
        <w:rPr>
          <w:rFonts w:cs="Arial"/>
          <w:szCs w:val="24"/>
          <w:lang w:val="en-US" w:eastAsia="en-GB"/>
        </w:rPr>
        <w:t>Separate risk register in place? </w:t>
      </w:r>
      <w:r w:rsidRPr="00EC369D">
        <w:rPr>
          <w:rFonts w:cs="Arial"/>
          <w:b/>
          <w:bCs/>
          <w:szCs w:val="24"/>
          <w:lang w:val="en-US" w:eastAsia="en-GB"/>
        </w:rPr>
        <w:t>No</w:t>
      </w:r>
      <w:r w:rsidRPr="00EC369D">
        <w:rPr>
          <w:rFonts w:cs="Arial"/>
          <w:szCs w:val="24"/>
          <w:lang w:val="en-US" w:eastAsia="en-GB"/>
        </w:rPr>
        <w:t> </w:t>
      </w:r>
    </w:p>
    <w:p w14:paraId="77C7BDB3" w14:textId="77777777" w:rsidR="00570F59" w:rsidRPr="00F15248" w:rsidRDefault="00570F59" w:rsidP="00570F59">
      <w:pPr>
        <w:ind w:left="555" w:right="75" w:hanging="555"/>
        <w:textAlignment w:val="baseline"/>
        <w:rPr>
          <w:rFonts w:cs="Arial"/>
          <w:szCs w:val="24"/>
          <w:lang w:eastAsia="en-GB"/>
        </w:rPr>
      </w:pPr>
      <w:r w:rsidRPr="00EC369D">
        <w:rPr>
          <w:rFonts w:cs="Arial"/>
          <w:szCs w:val="24"/>
          <w:lang w:eastAsia="en-GB"/>
        </w:rPr>
        <w:t> </w:t>
      </w:r>
    </w:p>
    <w:p w14:paraId="44C5764F" w14:textId="2DEE05AE" w:rsidR="00570F59" w:rsidRPr="00F15248" w:rsidRDefault="00570F59" w:rsidP="00570F59">
      <w:pPr>
        <w:ind w:right="75"/>
        <w:textAlignment w:val="baseline"/>
        <w:rPr>
          <w:rFonts w:cs="Arial"/>
          <w:szCs w:val="24"/>
          <w:lang w:eastAsia="en-GB"/>
        </w:rPr>
      </w:pPr>
      <w:r w:rsidRPr="00EC369D">
        <w:rPr>
          <w:rFonts w:cs="Arial"/>
          <w:szCs w:val="24"/>
          <w:lang w:eastAsia="en-GB"/>
        </w:rPr>
        <w:lastRenderedPageBreak/>
        <w:t>The relevant risks contained in the register are summarised below. </w:t>
      </w:r>
      <w:r w:rsidRPr="00EC369D">
        <w:rPr>
          <w:rFonts w:cs="Arial"/>
          <w:b/>
          <w:bCs/>
          <w:szCs w:val="24"/>
          <w:lang w:val="en-US" w:eastAsia="en-GB"/>
        </w:rPr>
        <w:t>Yes</w:t>
      </w:r>
    </w:p>
    <w:p w14:paraId="3CBC9CDA" w14:textId="31B4D0C6" w:rsidR="00B5445B" w:rsidRPr="00EC369D" w:rsidRDefault="00570F59" w:rsidP="00570F59">
      <w:pPr>
        <w:textAlignment w:val="baseline"/>
        <w:rPr>
          <w:rFonts w:cs="Arial"/>
          <w:szCs w:val="24"/>
          <w:lang w:eastAsia="en-GB"/>
        </w:rPr>
      </w:pPr>
      <w:r w:rsidRPr="00EC369D">
        <w:rPr>
          <w:rFonts w:cs="Arial"/>
          <w:szCs w:val="24"/>
          <w:lang w:eastAsia="en-GB"/>
        </w:rPr>
        <w:t> </w:t>
      </w:r>
    </w:p>
    <w:p w14:paraId="48AE23D9" w14:textId="77777777" w:rsidR="00115089" w:rsidRDefault="002D565E" w:rsidP="00115089">
      <w:pPr>
        <w:textAlignment w:val="baseline"/>
        <w:rPr>
          <w:rFonts w:cs="Arial"/>
          <w:szCs w:val="24"/>
          <w:lang w:eastAsia="en-GB"/>
        </w:rPr>
      </w:pPr>
      <w:r w:rsidRPr="00F15248">
        <w:rPr>
          <w:rFonts w:cs="Arial"/>
          <w:szCs w:val="24"/>
          <w:lang w:eastAsia="en-GB"/>
        </w:rPr>
        <w:t>Both the Corporate Board and Human Resources Department have now been instructed on the role of t</w:t>
      </w:r>
      <w:r w:rsidR="001A10F1" w:rsidRPr="00F15248">
        <w:rPr>
          <w:rFonts w:cs="Arial"/>
          <w:szCs w:val="24"/>
          <w:lang w:eastAsia="en-GB"/>
        </w:rPr>
        <w:t>he COEP</w:t>
      </w:r>
      <w:r w:rsidRPr="00F15248">
        <w:rPr>
          <w:rFonts w:cs="Arial"/>
          <w:szCs w:val="24"/>
          <w:lang w:eastAsia="en-GB"/>
        </w:rPr>
        <w:t xml:space="preserve">, to avoid any future omissions of the sort set out above. </w:t>
      </w:r>
      <w:r w:rsidR="00B5445B" w:rsidRPr="00F15248">
        <w:rPr>
          <w:rFonts w:cs="Arial"/>
          <w:szCs w:val="24"/>
          <w:lang w:eastAsia="en-GB"/>
        </w:rPr>
        <w:t xml:space="preserve">The risk of future irregularities has been addressed </w:t>
      </w:r>
      <w:r w:rsidR="004B2E27" w:rsidRPr="00F15248">
        <w:rPr>
          <w:rFonts w:cs="Arial"/>
          <w:szCs w:val="24"/>
          <w:lang w:eastAsia="en-GB"/>
        </w:rPr>
        <w:t>and protocols are in place</w:t>
      </w:r>
      <w:r w:rsidR="00B5445B" w:rsidRPr="00F15248">
        <w:rPr>
          <w:rFonts w:cs="Arial"/>
          <w:szCs w:val="24"/>
          <w:lang w:eastAsia="en-GB"/>
        </w:rPr>
        <w:t>.</w:t>
      </w:r>
    </w:p>
    <w:p w14:paraId="74BBB26E" w14:textId="77777777" w:rsidR="00115089" w:rsidRDefault="00115089" w:rsidP="00115089">
      <w:pPr>
        <w:textAlignment w:val="baseline"/>
        <w:rPr>
          <w:rFonts w:cs="Arial"/>
          <w:szCs w:val="24"/>
          <w:lang w:eastAsia="en-GB"/>
        </w:rPr>
      </w:pPr>
    </w:p>
    <w:p w14:paraId="44D33D1F" w14:textId="5FB90F3C" w:rsidR="00FD31A0" w:rsidRPr="00115089" w:rsidRDefault="00115089" w:rsidP="00115089">
      <w:pPr>
        <w:textAlignment w:val="baseline"/>
        <w:rPr>
          <w:rFonts w:cs="Arial"/>
          <w:b/>
          <w:bCs/>
          <w:sz w:val="32"/>
          <w:szCs w:val="32"/>
        </w:rPr>
      </w:pPr>
      <w:r w:rsidRPr="00115089">
        <w:rPr>
          <w:b/>
          <w:bCs/>
          <w:sz w:val="32"/>
          <w:szCs w:val="32"/>
        </w:rPr>
        <w:t xml:space="preserve"> </w:t>
      </w:r>
      <w:r w:rsidR="00FD31A0" w:rsidRPr="00115089">
        <w:rPr>
          <w:rFonts w:cs="Arial"/>
          <w:b/>
          <w:bCs/>
          <w:sz w:val="32"/>
          <w:szCs w:val="32"/>
        </w:rPr>
        <w:t>Equalities implications</w:t>
      </w:r>
      <w:r w:rsidR="00213BE7" w:rsidRPr="00115089">
        <w:rPr>
          <w:rFonts w:cs="Arial"/>
          <w:b/>
          <w:bCs/>
          <w:sz w:val="32"/>
          <w:szCs w:val="32"/>
        </w:rPr>
        <w:t xml:space="preserve"> / Public Sector Equality Duty </w:t>
      </w:r>
    </w:p>
    <w:p w14:paraId="598A5294" w14:textId="77777777" w:rsidR="00115089" w:rsidRPr="00115089" w:rsidRDefault="00115089" w:rsidP="00115089">
      <w:pPr>
        <w:textAlignment w:val="baseline"/>
        <w:rPr>
          <w:rFonts w:cs="Arial"/>
          <w:b/>
          <w:bCs/>
        </w:rPr>
      </w:pPr>
    </w:p>
    <w:p w14:paraId="76DCB596" w14:textId="12AD2B35" w:rsidR="00FD31A0" w:rsidRPr="00D27959" w:rsidRDefault="00FD31A0" w:rsidP="00FD31A0">
      <w:pPr>
        <w:rPr>
          <w:rFonts w:cs="Arial"/>
        </w:rPr>
      </w:pPr>
      <w:r w:rsidRPr="00D27959">
        <w:rPr>
          <w:rFonts w:cs="Arial"/>
        </w:rPr>
        <w:t xml:space="preserve">Was an Equality Impact Assessment carried out?  No </w:t>
      </w:r>
    </w:p>
    <w:p w14:paraId="0C2F27D8" w14:textId="77777777" w:rsidR="00FD31A0" w:rsidRPr="00D27959" w:rsidRDefault="00FD31A0" w:rsidP="00FD31A0">
      <w:pPr>
        <w:rPr>
          <w:rFonts w:cs="Arial"/>
        </w:rPr>
      </w:pPr>
    </w:p>
    <w:p w14:paraId="7800441F" w14:textId="77777777" w:rsidR="00FD31A0" w:rsidRPr="00D27959" w:rsidRDefault="00FD31A0" w:rsidP="00FD31A0">
      <w:pPr>
        <w:rPr>
          <w:rFonts w:cs="Arial"/>
        </w:rPr>
      </w:pPr>
      <w:r w:rsidRPr="00D27959">
        <w:rPr>
          <w:rFonts w:cs="Arial"/>
        </w:rPr>
        <w:t>If no, state why an EqIA was not carried out below:</w:t>
      </w:r>
    </w:p>
    <w:p w14:paraId="3D4258A4" w14:textId="1AC1B4E8" w:rsidR="00FD31A0" w:rsidRDefault="00FD31A0" w:rsidP="00FD31A0">
      <w:pPr>
        <w:ind w:right="141"/>
        <w:rPr>
          <w:rFonts w:cs="Arial"/>
          <w:szCs w:val="24"/>
          <w:lang w:val="en-US"/>
        </w:rPr>
      </w:pPr>
    </w:p>
    <w:p w14:paraId="1445F5FC" w14:textId="14EDF5A7" w:rsidR="00151E75" w:rsidRPr="00D27959" w:rsidRDefault="00C22ECB" w:rsidP="00FD31A0">
      <w:pPr>
        <w:ind w:right="14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EqIA was not completed for </w:t>
      </w:r>
      <w:r w:rsidR="00F225FB">
        <w:rPr>
          <w:rFonts w:cs="Arial"/>
          <w:szCs w:val="24"/>
          <w:lang w:val="en-US"/>
        </w:rPr>
        <w:t>these evaluations</w:t>
      </w:r>
      <w:r w:rsidR="000306BD">
        <w:rPr>
          <w:rFonts w:cs="Arial"/>
          <w:szCs w:val="24"/>
          <w:lang w:val="en-US"/>
        </w:rPr>
        <w:t xml:space="preserve"> as there was no direct equalities impacts ar</w:t>
      </w:r>
      <w:r w:rsidR="0082118A">
        <w:rPr>
          <w:rFonts w:cs="Arial"/>
          <w:szCs w:val="24"/>
          <w:lang w:val="en-US"/>
        </w:rPr>
        <w:t xml:space="preserve">ising from the changes highlighted in this report. </w:t>
      </w:r>
    </w:p>
    <w:p w14:paraId="6EB9B126" w14:textId="77777777" w:rsidR="00435070" w:rsidRPr="00115089" w:rsidRDefault="00435070" w:rsidP="00435070">
      <w:pPr>
        <w:pStyle w:val="Heading3"/>
        <w:spacing w:before="480" w:after="240"/>
        <w:rPr>
          <w:rFonts w:ascii="Arial Black" w:hAnsi="Arial Black"/>
          <w:sz w:val="28"/>
        </w:rPr>
      </w:pPr>
      <w:r w:rsidRPr="00115089">
        <w:rPr>
          <w:rFonts w:ascii="Arial Black" w:hAnsi="Arial Black"/>
          <w:sz w:val="28"/>
        </w:rPr>
        <w:t>Council Priorities</w:t>
      </w:r>
    </w:p>
    <w:p w14:paraId="4AD16319" w14:textId="77777777" w:rsidR="00435070" w:rsidRPr="00D27959" w:rsidRDefault="00435070" w:rsidP="00435070">
      <w:pPr>
        <w:rPr>
          <w:rFonts w:cs="Arial"/>
          <w:szCs w:val="24"/>
          <w:lang w:val="en-US"/>
        </w:rPr>
      </w:pPr>
    </w:p>
    <w:p w14:paraId="5DD393BE" w14:textId="77777777" w:rsidR="00435070" w:rsidRPr="00D27959" w:rsidRDefault="00435070" w:rsidP="00435070">
      <w:pPr>
        <w:pStyle w:val="StyleListParagraphBold"/>
        <w:numPr>
          <w:ilvl w:val="0"/>
          <w:numId w:val="18"/>
        </w:numPr>
        <w:rPr>
          <w:lang w:eastAsia="en-US"/>
        </w:rPr>
      </w:pPr>
      <w:r w:rsidRPr="00D27959">
        <w:t>A council that puts residents first</w:t>
      </w:r>
    </w:p>
    <w:p w14:paraId="18D7BBD0" w14:textId="77777777" w:rsidR="00435070" w:rsidRPr="00D27959" w:rsidRDefault="00435070" w:rsidP="00435070">
      <w:pPr>
        <w:pStyle w:val="StyleListParagraphBold"/>
        <w:rPr>
          <w:lang w:eastAsia="en-US"/>
        </w:rPr>
      </w:pPr>
    </w:p>
    <w:p w14:paraId="274CE199" w14:textId="77777777" w:rsidR="00435070" w:rsidRPr="00D27959" w:rsidRDefault="00435070" w:rsidP="00435070">
      <w:pPr>
        <w:pStyle w:val="StyleListParagraphBold"/>
        <w:numPr>
          <w:ilvl w:val="0"/>
          <w:numId w:val="18"/>
        </w:numPr>
      </w:pPr>
      <w:r w:rsidRPr="00D27959">
        <w:t>A borough that is clean and safe</w:t>
      </w:r>
    </w:p>
    <w:p w14:paraId="4B77658D" w14:textId="77777777" w:rsidR="00435070" w:rsidRPr="00D27959" w:rsidRDefault="00435070" w:rsidP="00435070">
      <w:pPr>
        <w:pStyle w:val="StyleListParagraphBold"/>
        <w:ind w:left="0"/>
      </w:pPr>
    </w:p>
    <w:p w14:paraId="41B33AFB" w14:textId="4135B97D" w:rsidR="00B2484F" w:rsidRDefault="00435070" w:rsidP="008035B5">
      <w:pPr>
        <w:pStyle w:val="StyleListParagraphBold"/>
        <w:numPr>
          <w:ilvl w:val="0"/>
          <w:numId w:val="18"/>
        </w:numPr>
      </w:pPr>
      <w:r w:rsidRPr="00D27959">
        <w:t>A place where those in need are supported</w:t>
      </w:r>
    </w:p>
    <w:p w14:paraId="0ADDDA80" w14:textId="77777777" w:rsidR="00C332C9" w:rsidRDefault="00C332C9" w:rsidP="00C332C9">
      <w:pPr>
        <w:pStyle w:val="ListParagraph"/>
      </w:pPr>
    </w:p>
    <w:p w14:paraId="5C3AF1C8" w14:textId="77777777" w:rsidR="00C332C9" w:rsidRDefault="00C332C9" w:rsidP="00C332C9">
      <w:pPr>
        <w:pStyle w:val="Heading2"/>
      </w:pPr>
      <w:r>
        <w:t>Section 3 - Statutory Officer Clearance</w:t>
      </w:r>
    </w:p>
    <w:p w14:paraId="5C5A67BC" w14:textId="77777777" w:rsidR="00C332C9" w:rsidRDefault="00C332C9" w:rsidP="00C332C9">
      <w:pPr>
        <w:keepNext/>
        <w:rPr>
          <w:rFonts w:cs="Arial"/>
        </w:rPr>
      </w:pPr>
    </w:p>
    <w:p w14:paraId="134A8E96" w14:textId="77777777" w:rsidR="00C332C9" w:rsidRPr="00A66326" w:rsidRDefault="00C332C9" w:rsidP="00C332C9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>
        <w:rPr>
          <w:b/>
          <w:sz w:val="28"/>
        </w:rPr>
        <w:t>Dawn Calvert</w:t>
      </w:r>
    </w:p>
    <w:p w14:paraId="2E4CCA90" w14:textId="77777777" w:rsidR="00C332C9" w:rsidRPr="00A66326" w:rsidRDefault="00C332C9" w:rsidP="00C332C9">
      <w:r w:rsidRPr="00A66326">
        <w:t>Signed by the Chief Financial Officer</w:t>
      </w:r>
    </w:p>
    <w:p w14:paraId="5303C762" w14:textId="77777777" w:rsidR="00C332C9" w:rsidRPr="00A66326" w:rsidRDefault="00C332C9" w:rsidP="00C332C9">
      <w:pPr>
        <w:rPr>
          <w:sz w:val="28"/>
        </w:rPr>
      </w:pPr>
    </w:p>
    <w:p w14:paraId="4519D3C4" w14:textId="01ED0BA4" w:rsidR="00C332C9" w:rsidRPr="00C332C9" w:rsidRDefault="00C332C9" w:rsidP="00C332C9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>
        <w:rPr>
          <w:b/>
          <w:sz w:val="28"/>
        </w:rPr>
        <w:t>21</w:t>
      </w:r>
      <w:r>
        <w:rPr>
          <w:b/>
          <w:sz w:val="28"/>
        </w:rPr>
        <w:t>/02/2023</w:t>
      </w:r>
    </w:p>
    <w:p w14:paraId="629F8205" w14:textId="77777777" w:rsidR="002A2389" w:rsidRPr="00115089" w:rsidRDefault="002A2389" w:rsidP="00912904">
      <w:pPr>
        <w:pStyle w:val="Heading2"/>
        <w:keepNext/>
        <w:spacing w:after="240"/>
      </w:pPr>
      <w:r w:rsidRPr="00115089">
        <w:t>Section 4 - Contact Details and Background Papers</w:t>
      </w:r>
    </w:p>
    <w:p w14:paraId="112DFEF6" w14:textId="54D14B7A" w:rsidR="007D47AF" w:rsidRPr="00F15248" w:rsidRDefault="002A2389" w:rsidP="007D47AF">
      <w:pPr>
        <w:pStyle w:val="Infotext"/>
        <w:rPr>
          <w:rFonts w:cs="Arial"/>
          <w:szCs w:val="28"/>
        </w:rPr>
      </w:pPr>
      <w:r w:rsidRPr="00F15248">
        <w:rPr>
          <w:rFonts w:cs="Arial"/>
          <w:b/>
          <w:szCs w:val="28"/>
        </w:rPr>
        <w:t>Contact:</w:t>
      </w:r>
      <w:r w:rsidRPr="00F15248">
        <w:rPr>
          <w:rFonts w:cs="Arial"/>
          <w:szCs w:val="28"/>
        </w:rPr>
        <w:t xml:space="preserve">  </w:t>
      </w:r>
      <w:r w:rsidR="007D47AF" w:rsidRPr="00F15248">
        <w:rPr>
          <w:rFonts w:cs="Arial"/>
          <w:szCs w:val="28"/>
        </w:rPr>
        <w:tab/>
        <w:t>Natalie Powers, Acting Head of Employee Relations</w:t>
      </w:r>
    </w:p>
    <w:p w14:paraId="2C9AD2F3" w14:textId="47226A94" w:rsidR="007D47AF" w:rsidRPr="00F15248" w:rsidRDefault="00B05F3D" w:rsidP="007D47AF">
      <w:pPr>
        <w:pStyle w:val="Infotext"/>
        <w:ind w:left="720" w:firstLine="720"/>
        <w:rPr>
          <w:rFonts w:cs="Arial"/>
          <w:lang w:val="fr-FR"/>
        </w:rPr>
      </w:pPr>
      <w:r w:rsidRPr="00F15248">
        <w:rPr>
          <w:rFonts w:cs="Arial"/>
          <w:lang w:val="fr-FR"/>
        </w:rPr>
        <w:t>Email:</w:t>
      </w:r>
      <w:r w:rsidR="007D47AF" w:rsidRPr="00F15248">
        <w:rPr>
          <w:rFonts w:cs="Arial"/>
          <w:lang w:val="fr-FR"/>
        </w:rPr>
        <w:t xml:space="preserve"> </w:t>
      </w:r>
      <w:hyperlink r:id="rId13" w:history="1">
        <w:r w:rsidR="007D47AF" w:rsidRPr="00F15248">
          <w:rPr>
            <w:rStyle w:val="Hyperlink"/>
            <w:rFonts w:cs="Arial"/>
            <w:lang w:val="fr-FR"/>
          </w:rPr>
          <w:t>Natalie.Powers@harrow.gov.uk</w:t>
        </w:r>
      </w:hyperlink>
      <w:r w:rsidR="007D47AF" w:rsidRPr="00F15248">
        <w:rPr>
          <w:rFonts w:cs="Arial"/>
          <w:lang w:val="fr-FR"/>
        </w:rPr>
        <w:t xml:space="preserve"> </w:t>
      </w:r>
    </w:p>
    <w:p w14:paraId="4A9B74DD" w14:textId="07522ECE" w:rsidR="007D47AF" w:rsidRPr="007D47AF" w:rsidRDefault="00B05F3D" w:rsidP="007D47AF">
      <w:pPr>
        <w:pStyle w:val="Infotext"/>
        <w:ind w:left="720" w:firstLine="720"/>
        <w:rPr>
          <w:rFonts w:cs="Arial"/>
        </w:rPr>
      </w:pPr>
      <w:r w:rsidRPr="007D47AF">
        <w:rPr>
          <w:rFonts w:cs="Arial"/>
        </w:rPr>
        <w:t>Mobile</w:t>
      </w:r>
      <w:r>
        <w:rPr>
          <w:rFonts w:cs="Arial"/>
        </w:rPr>
        <w:t>:</w:t>
      </w:r>
      <w:r w:rsidR="007D47AF" w:rsidRPr="007D47AF">
        <w:rPr>
          <w:rFonts w:cs="Arial"/>
        </w:rPr>
        <w:t xml:space="preserve"> 07593 515 162</w:t>
      </w:r>
    </w:p>
    <w:p w14:paraId="1C4BF2D4" w14:textId="48DF3227" w:rsidR="002A2389" w:rsidRPr="00D27959" w:rsidRDefault="002A2389">
      <w:pPr>
        <w:pStyle w:val="Infotext"/>
        <w:rPr>
          <w:rFonts w:cs="Arial"/>
        </w:rPr>
      </w:pPr>
    </w:p>
    <w:p w14:paraId="28AF6FE8" w14:textId="11A37BD7" w:rsidR="002A2389" w:rsidRDefault="002A2389" w:rsidP="00912904">
      <w:pPr>
        <w:pStyle w:val="Infotext"/>
        <w:spacing w:before="360"/>
        <w:rPr>
          <w:rFonts w:cs="Arial"/>
          <w:b/>
        </w:rPr>
      </w:pPr>
      <w:r w:rsidRPr="00D27959">
        <w:rPr>
          <w:rFonts w:cs="Arial"/>
          <w:b/>
        </w:rPr>
        <w:t>Background Papers</w:t>
      </w:r>
      <w:r w:rsidR="007D47AF">
        <w:rPr>
          <w:rFonts w:cs="Arial"/>
          <w:b/>
        </w:rPr>
        <w:t>:</w:t>
      </w:r>
    </w:p>
    <w:p w14:paraId="6310AEF9" w14:textId="77777777" w:rsidR="007D47AF" w:rsidRDefault="007D47AF" w:rsidP="007D47AF">
      <w:pPr>
        <w:pStyle w:val="Infotext"/>
        <w:rPr>
          <w:rFonts w:cs="Arial"/>
          <w:b/>
        </w:rPr>
      </w:pPr>
    </w:p>
    <w:p w14:paraId="0DE4485E" w14:textId="3847066A" w:rsidR="007D47AF" w:rsidRPr="007D47AF" w:rsidRDefault="007D47AF" w:rsidP="007D47AF">
      <w:pPr>
        <w:pStyle w:val="Infotext"/>
        <w:rPr>
          <w:rFonts w:cs="Arial"/>
          <w:bCs/>
        </w:rPr>
      </w:pPr>
      <w:r w:rsidRPr="007D47AF">
        <w:rPr>
          <w:rFonts w:cs="Arial"/>
          <w:bCs/>
        </w:rPr>
        <w:t xml:space="preserve">Report to the Chief Officers’ Employment Panel </w:t>
      </w:r>
      <w:r>
        <w:rPr>
          <w:rFonts w:cs="Arial"/>
          <w:bCs/>
        </w:rPr>
        <w:t>8 December</w:t>
      </w:r>
      <w:r w:rsidRPr="007D47AF">
        <w:rPr>
          <w:rFonts w:cs="Arial"/>
          <w:bCs/>
        </w:rPr>
        <w:t xml:space="preserve"> 2022.  </w:t>
      </w:r>
    </w:p>
    <w:p w14:paraId="47D2903E" w14:textId="2A8AE940" w:rsidR="007D47AF" w:rsidRPr="007D47AF" w:rsidRDefault="007D47AF" w:rsidP="00912904">
      <w:pPr>
        <w:pStyle w:val="Infotext"/>
        <w:spacing w:before="360"/>
        <w:rPr>
          <w:rFonts w:cs="Arial"/>
          <w:bCs/>
        </w:rPr>
      </w:pPr>
      <w:r w:rsidRPr="007D47AF">
        <w:rPr>
          <w:rFonts w:cs="Arial"/>
          <w:bCs/>
        </w:rPr>
        <w:t xml:space="preserve">Minutes of the COEP </w:t>
      </w:r>
      <w:r>
        <w:rPr>
          <w:rFonts w:cs="Arial"/>
          <w:bCs/>
        </w:rPr>
        <w:t>8 December</w:t>
      </w:r>
      <w:r w:rsidRPr="007D47AF">
        <w:rPr>
          <w:rFonts w:cs="Arial"/>
          <w:bCs/>
        </w:rPr>
        <w:t xml:space="preserve"> 2022 </w:t>
      </w:r>
    </w:p>
    <w:p w14:paraId="6D64D64B" w14:textId="77777777" w:rsidR="002A2389" w:rsidRPr="00D27959" w:rsidRDefault="002A2389" w:rsidP="00912904">
      <w:pPr>
        <w:pStyle w:val="Infotext"/>
        <w:spacing w:before="360" w:after="240"/>
        <w:rPr>
          <w:rFonts w:cs="Arial"/>
        </w:rPr>
      </w:pPr>
      <w:r w:rsidRPr="00D27959">
        <w:rPr>
          <w:rFonts w:cs="Arial"/>
        </w:rPr>
        <w:lastRenderedPageBreak/>
        <w:t xml:space="preserve">If appropriate, does the report include the following considerations? </w:t>
      </w:r>
    </w:p>
    <w:p w14:paraId="507DF23B" w14:textId="2E22FDD0" w:rsidR="00912904" w:rsidRPr="00D27959" w:rsidRDefault="00912904">
      <w:pPr>
        <w:pStyle w:val="Infotext"/>
        <w:tabs>
          <w:tab w:val="left" w:pos="656"/>
          <w:tab w:val="left" w:pos="6399"/>
        </w:tabs>
        <w:rPr>
          <w:rFonts w:cs="Arial"/>
        </w:rPr>
      </w:pPr>
      <w:r w:rsidRPr="00D27959">
        <w:rPr>
          <w:rFonts w:cs="Arial"/>
        </w:rPr>
        <w:t>1.</w:t>
      </w:r>
      <w:r w:rsidRPr="00D27959">
        <w:rPr>
          <w:rFonts w:cs="Arial"/>
        </w:rPr>
        <w:tab/>
        <w:t xml:space="preserve">Consultation </w:t>
      </w:r>
      <w:r w:rsidRPr="00D27959">
        <w:rPr>
          <w:rFonts w:cs="Arial"/>
        </w:rPr>
        <w:tab/>
        <w:t>NO</w:t>
      </w:r>
    </w:p>
    <w:p w14:paraId="0AC2AC5C" w14:textId="36E2AE99" w:rsidR="00912904" w:rsidRPr="00D27959" w:rsidRDefault="00912904">
      <w:pPr>
        <w:pStyle w:val="Infotext"/>
        <w:tabs>
          <w:tab w:val="left" w:pos="656"/>
          <w:tab w:val="left" w:pos="6399"/>
        </w:tabs>
        <w:rPr>
          <w:rFonts w:cs="Arial"/>
        </w:rPr>
      </w:pPr>
      <w:r w:rsidRPr="00D27959">
        <w:rPr>
          <w:rFonts w:cs="Arial"/>
        </w:rPr>
        <w:t>2.</w:t>
      </w:r>
      <w:r w:rsidRPr="00D27959">
        <w:rPr>
          <w:rFonts w:cs="Arial"/>
        </w:rPr>
        <w:tab/>
        <w:t>Priorities</w:t>
      </w:r>
      <w:r w:rsidRPr="00D27959">
        <w:rPr>
          <w:rFonts w:cs="Arial"/>
        </w:rPr>
        <w:tab/>
        <w:t xml:space="preserve">NO </w:t>
      </w:r>
    </w:p>
    <w:p w14:paraId="695B009D" w14:textId="77777777" w:rsidR="002A2389" w:rsidRPr="00D27959" w:rsidRDefault="002A2389">
      <w:pPr>
        <w:rPr>
          <w:rFonts w:cs="Arial"/>
        </w:rPr>
      </w:pPr>
    </w:p>
    <w:sectPr w:rsidR="002A2389" w:rsidRPr="00D2795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Dawn Calvert" w:date="2023-02-21T18:51:00Z" w:initials="DC">
    <w:p w14:paraId="4C24806E" w14:textId="5A1B8C8C" w:rsidR="00A613D8" w:rsidRDefault="00A613D8">
      <w:pPr>
        <w:pStyle w:val="CommentText"/>
      </w:pPr>
      <w:r>
        <w:rPr>
          <w:rStyle w:val="CommentReference"/>
        </w:rPr>
        <w:annotationRef/>
      </w:r>
      <w:r>
        <w:t xml:space="preserve">As before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2480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9121" w16cex:dateUtc="2023-02-21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4806E" w16cid:durableId="279F91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A6A2" w14:textId="77777777" w:rsidR="009249E3" w:rsidRDefault="009249E3">
      <w:r>
        <w:separator/>
      </w:r>
    </w:p>
  </w:endnote>
  <w:endnote w:type="continuationSeparator" w:id="0">
    <w:p w14:paraId="04835546" w14:textId="77777777" w:rsidR="009249E3" w:rsidRDefault="0092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E35F" w14:textId="77777777" w:rsidR="009249E3" w:rsidRDefault="009249E3">
      <w:r>
        <w:separator/>
      </w:r>
    </w:p>
  </w:footnote>
  <w:footnote w:type="continuationSeparator" w:id="0">
    <w:p w14:paraId="41A23680" w14:textId="77777777" w:rsidR="009249E3" w:rsidRDefault="0092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790"/>
    <w:multiLevelType w:val="multilevel"/>
    <w:tmpl w:val="AB9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2A3"/>
    <w:multiLevelType w:val="multilevel"/>
    <w:tmpl w:val="AD9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7253"/>
    <w:multiLevelType w:val="hybridMultilevel"/>
    <w:tmpl w:val="DA7AF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941A7"/>
    <w:multiLevelType w:val="hybridMultilevel"/>
    <w:tmpl w:val="37A8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7696"/>
    <w:multiLevelType w:val="multilevel"/>
    <w:tmpl w:val="5A8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644669"/>
    <w:multiLevelType w:val="multilevel"/>
    <w:tmpl w:val="DAC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21E5E"/>
    <w:multiLevelType w:val="multilevel"/>
    <w:tmpl w:val="7CE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5FB"/>
    <w:multiLevelType w:val="multilevel"/>
    <w:tmpl w:val="03A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71B8A"/>
    <w:multiLevelType w:val="multilevel"/>
    <w:tmpl w:val="6DD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ED40A86"/>
    <w:multiLevelType w:val="hybridMultilevel"/>
    <w:tmpl w:val="CBCC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874DA"/>
    <w:multiLevelType w:val="hybridMultilevel"/>
    <w:tmpl w:val="040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C474EE"/>
    <w:multiLevelType w:val="hybridMultilevel"/>
    <w:tmpl w:val="4458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44193"/>
    <w:multiLevelType w:val="multilevel"/>
    <w:tmpl w:val="D95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71764B"/>
    <w:multiLevelType w:val="multilevel"/>
    <w:tmpl w:val="F6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D068C"/>
    <w:multiLevelType w:val="hybridMultilevel"/>
    <w:tmpl w:val="8BF84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24F01"/>
    <w:multiLevelType w:val="hybridMultilevel"/>
    <w:tmpl w:val="57FCF2A4"/>
    <w:lvl w:ilvl="0" w:tplc="F5E4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F28A9"/>
    <w:multiLevelType w:val="multilevel"/>
    <w:tmpl w:val="241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1B7608"/>
    <w:multiLevelType w:val="hybridMultilevel"/>
    <w:tmpl w:val="D892D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6048">
    <w:abstractNumId w:val="30"/>
  </w:num>
  <w:num w:numId="2" w16cid:durableId="882445314">
    <w:abstractNumId w:val="23"/>
  </w:num>
  <w:num w:numId="3" w16cid:durableId="619384243">
    <w:abstractNumId w:val="28"/>
  </w:num>
  <w:num w:numId="4" w16cid:durableId="1963724579">
    <w:abstractNumId w:val="1"/>
  </w:num>
  <w:num w:numId="5" w16cid:durableId="15008492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7637711">
    <w:abstractNumId w:val="14"/>
  </w:num>
  <w:num w:numId="7" w16cid:durableId="270356507">
    <w:abstractNumId w:val="16"/>
  </w:num>
  <w:num w:numId="8" w16cid:durableId="2038382057">
    <w:abstractNumId w:val="6"/>
  </w:num>
  <w:num w:numId="9" w16cid:durableId="1506746150">
    <w:abstractNumId w:val="5"/>
  </w:num>
  <w:num w:numId="10" w16cid:durableId="2013100239">
    <w:abstractNumId w:val="27"/>
  </w:num>
  <w:num w:numId="11" w16cid:durableId="588658696">
    <w:abstractNumId w:val="35"/>
  </w:num>
  <w:num w:numId="12" w16cid:durableId="2140684360">
    <w:abstractNumId w:val="24"/>
  </w:num>
  <w:num w:numId="13" w16cid:durableId="257099861">
    <w:abstractNumId w:val="3"/>
  </w:num>
  <w:num w:numId="14" w16cid:durableId="1489130440">
    <w:abstractNumId w:val="12"/>
  </w:num>
  <w:num w:numId="15" w16cid:durableId="1947611199">
    <w:abstractNumId w:val="21"/>
  </w:num>
  <w:num w:numId="16" w16cid:durableId="496775696">
    <w:abstractNumId w:val="19"/>
  </w:num>
  <w:num w:numId="17" w16cid:durableId="244264486">
    <w:abstractNumId w:val="34"/>
  </w:num>
  <w:num w:numId="18" w16cid:durableId="1878932309">
    <w:abstractNumId w:val="20"/>
  </w:num>
  <w:num w:numId="19" w16cid:durableId="220095406">
    <w:abstractNumId w:val="31"/>
  </w:num>
  <w:num w:numId="20" w16cid:durableId="1288312297">
    <w:abstractNumId w:val="17"/>
  </w:num>
  <w:num w:numId="21" w16cid:durableId="1764379378">
    <w:abstractNumId w:val="33"/>
  </w:num>
  <w:num w:numId="22" w16cid:durableId="639069770">
    <w:abstractNumId w:val="7"/>
  </w:num>
  <w:num w:numId="23" w16cid:durableId="1469201232">
    <w:abstractNumId w:val="0"/>
  </w:num>
  <w:num w:numId="24" w16cid:durableId="1239753735">
    <w:abstractNumId w:val="29"/>
  </w:num>
  <w:num w:numId="25" w16cid:durableId="506673842">
    <w:abstractNumId w:val="18"/>
  </w:num>
  <w:num w:numId="26" w16cid:durableId="435952227">
    <w:abstractNumId w:val="8"/>
  </w:num>
  <w:num w:numId="27" w16cid:durableId="1676423289">
    <w:abstractNumId w:val="13"/>
  </w:num>
  <w:num w:numId="28" w16cid:durableId="1641570763">
    <w:abstractNumId w:val="25"/>
  </w:num>
  <w:num w:numId="29" w16cid:durableId="2008248099">
    <w:abstractNumId w:val="9"/>
  </w:num>
  <w:num w:numId="30" w16cid:durableId="1659071592">
    <w:abstractNumId w:val="2"/>
  </w:num>
  <w:num w:numId="31" w16cid:durableId="745614296">
    <w:abstractNumId w:val="15"/>
  </w:num>
  <w:num w:numId="32" w16cid:durableId="1011496203">
    <w:abstractNumId w:val="4"/>
  </w:num>
  <w:num w:numId="33" w16cid:durableId="561598794">
    <w:abstractNumId w:val="11"/>
  </w:num>
  <w:num w:numId="34" w16cid:durableId="1360738120">
    <w:abstractNumId w:val="26"/>
  </w:num>
  <w:num w:numId="35" w16cid:durableId="1910268628">
    <w:abstractNumId w:val="10"/>
  </w:num>
  <w:num w:numId="36" w16cid:durableId="998969031">
    <w:abstractNumId w:val="32"/>
  </w:num>
  <w:num w:numId="37" w16cid:durableId="114852238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n Calvert">
    <w15:presenceInfo w15:providerId="AD" w15:userId="S::Dawn.Calvert@harrow.gov.uk::5e6c9c3f-013e-4c6f-98d7-67c2a70420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3568"/>
    <w:rsid w:val="000143A6"/>
    <w:rsid w:val="00023F4C"/>
    <w:rsid w:val="000306BD"/>
    <w:rsid w:val="00057F10"/>
    <w:rsid w:val="000633A2"/>
    <w:rsid w:val="00071EB4"/>
    <w:rsid w:val="00073FC0"/>
    <w:rsid w:val="00077298"/>
    <w:rsid w:val="000A58A1"/>
    <w:rsid w:val="000A6659"/>
    <w:rsid w:val="000B0E6F"/>
    <w:rsid w:val="000B6DBB"/>
    <w:rsid w:val="000D2BF2"/>
    <w:rsid w:val="000D5870"/>
    <w:rsid w:val="000F65C0"/>
    <w:rsid w:val="00115089"/>
    <w:rsid w:val="00151E75"/>
    <w:rsid w:val="00155D03"/>
    <w:rsid w:val="001939BA"/>
    <w:rsid w:val="001A10F1"/>
    <w:rsid w:val="001A4910"/>
    <w:rsid w:val="001A49A0"/>
    <w:rsid w:val="001A6EB0"/>
    <w:rsid w:val="001B441D"/>
    <w:rsid w:val="001C5225"/>
    <w:rsid w:val="001D0B05"/>
    <w:rsid w:val="001E0219"/>
    <w:rsid w:val="00211491"/>
    <w:rsid w:val="00213BE7"/>
    <w:rsid w:val="00231A1D"/>
    <w:rsid w:val="00244120"/>
    <w:rsid w:val="00244A70"/>
    <w:rsid w:val="0028253A"/>
    <w:rsid w:val="00293F9F"/>
    <w:rsid w:val="002A2389"/>
    <w:rsid w:val="002C08E2"/>
    <w:rsid w:val="002C1794"/>
    <w:rsid w:val="002C385D"/>
    <w:rsid w:val="002C6AD1"/>
    <w:rsid w:val="002D2FC5"/>
    <w:rsid w:val="002D565E"/>
    <w:rsid w:val="002E60F8"/>
    <w:rsid w:val="002E6637"/>
    <w:rsid w:val="002E77E3"/>
    <w:rsid w:val="00310588"/>
    <w:rsid w:val="00332947"/>
    <w:rsid w:val="00333EB4"/>
    <w:rsid w:val="00345915"/>
    <w:rsid w:val="00365D29"/>
    <w:rsid w:val="00374F22"/>
    <w:rsid w:val="003D2FFE"/>
    <w:rsid w:val="00400032"/>
    <w:rsid w:val="0042394B"/>
    <w:rsid w:val="00435070"/>
    <w:rsid w:val="00435A0B"/>
    <w:rsid w:val="004452A4"/>
    <w:rsid w:val="00473B08"/>
    <w:rsid w:val="00474B5F"/>
    <w:rsid w:val="004865F0"/>
    <w:rsid w:val="00486CF5"/>
    <w:rsid w:val="00487008"/>
    <w:rsid w:val="004A3CE6"/>
    <w:rsid w:val="004A4A1D"/>
    <w:rsid w:val="004B2C9D"/>
    <w:rsid w:val="004B2E27"/>
    <w:rsid w:val="004B4A47"/>
    <w:rsid w:val="004E667D"/>
    <w:rsid w:val="004E6AF9"/>
    <w:rsid w:val="005031DF"/>
    <w:rsid w:val="00517702"/>
    <w:rsid w:val="00570F59"/>
    <w:rsid w:val="005873C6"/>
    <w:rsid w:val="00597314"/>
    <w:rsid w:val="005A24C9"/>
    <w:rsid w:val="005A61AF"/>
    <w:rsid w:val="005C627B"/>
    <w:rsid w:val="005D0886"/>
    <w:rsid w:val="005D585F"/>
    <w:rsid w:val="005E384D"/>
    <w:rsid w:val="005F2181"/>
    <w:rsid w:val="005F724B"/>
    <w:rsid w:val="00625DFF"/>
    <w:rsid w:val="0063072B"/>
    <w:rsid w:val="006604DC"/>
    <w:rsid w:val="00662891"/>
    <w:rsid w:val="006628B7"/>
    <w:rsid w:val="00675FCB"/>
    <w:rsid w:val="00691C90"/>
    <w:rsid w:val="006A0B87"/>
    <w:rsid w:val="006B3942"/>
    <w:rsid w:val="006C0394"/>
    <w:rsid w:val="006C34B9"/>
    <w:rsid w:val="006C3914"/>
    <w:rsid w:val="006D3648"/>
    <w:rsid w:val="0074184E"/>
    <w:rsid w:val="00743829"/>
    <w:rsid w:val="00755F8D"/>
    <w:rsid w:val="0076571D"/>
    <w:rsid w:val="00796503"/>
    <w:rsid w:val="007A668D"/>
    <w:rsid w:val="007B28E7"/>
    <w:rsid w:val="007B4458"/>
    <w:rsid w:val="007B6E63"/>
    <w:rsid w:val="007C13C6"/>
    <w:rsid w:val="007D2BDA"/>
    <w:rsid w:val="007D47AF"/>
    <w:rsid w:val="007D56C8"/>
    <w:rsid w:val="007E3934"/>
    <w:rsid w:val="007E48BF"/>
    <w:rsid w:val="007E7303"/>
    <w:rsid w:val="00804B7F"/>
    <w:rsid w:val="00805338"/>
    <w:rsid w:val="00805479"/>
    <w:rsid w:val="0082118A"/>
    <w:rsid w:val="008212A0"/>
    <w:rsid w:val="00837F53"/>
    <w:rsid w:val="00842754"/>
    <w:rsid w:val="008715A3"/>
    <w:rsid w:val="00896987"/>
    <w:rsid w:val="008A101A"/>
    <w:rsid w:val="008B446D"/>
    <w:rsid w:val="008D1750"/>
    <w:rsid w:val="008D7800"/>
    <w:rsid w:val="008E2910"/>
    <w:rsid w:val="008E4913"/>
    <w:rsid w:val="00900464"/>
    <w:rsid w:val="0090100E"/>
    <w:rsid w:val="00912904"/>
    <w:rsid w:val="009249E3"/>
    <w:rsid w:val="00926FD3"/>
    <w:rsid w:val="009343EA"/>
    <w:rsid w:val="0093767E"/>
    <w:rsid w:val="00940119"/>
    <w:rsid w:val="00972A02"/>
    <w:rsid w:val="0099517C"/>
    <w:rsid w:val="009A0937"/>
    <w:rsid w:val="009A57BA"/>
    <w:rsid w:val="009B2ECD"/>
    <w:rsid w:val="009B7914"/>
    <w:rsid w:val="009F13F3"/>
    <w:rsid w:val="009F430B"/>
    <w:rsid w:val="009F545F"/>
    <w:rsid w:val="00A05A91"/>
    <w:rsid w:val="00A160B2"/>
    <w:rsid w:val="00A50B59"/>
    <w:rsid w:val="00A566E7"/>
    <w:rsid w:val="00A613D8"/>
    <w:rsid w:val="00A7066A"/>
    <w:rsid w:val="00A82CA1"/>
    <w:rsid w:val="00A8551B"/>
    <w:rsid w:val="00A85F83"/>
    <w:rsid w:val="00A912AC"/>
    <w:rsid w:val="00A940D3"/>
    <w:rsid w:val="00A96FCA"/>
    <w:rsid w:val="00AA0593"/>
    <w:rsid w:val="00AA4BE8"/>
    <w:rsid w:val="00AA7805"/>
    <w:rsid w:val="00AC0AAB"/>
    <w:rsid w:val="00AC0FE6"/>
    <w:rsid w:val="00AC384C"/>
    <w:rsid w:val="00AC7BA9"/>
    <w:rsid w:val="00AE1846"/>
    <w:rsid w:val="00AF2AEA"/>
    <w:rsid w:val="00B01DBE"/>
    <w:rsid w:val="00B0425E"/>
    <w:rsid w:val="00B05F3D"/>
    <w:rsid w:val="00B2484F"/>
    <w:rsid w:val="00B5067E"/>
    <w:rsid w:val="00B5445B"/>
    <w:rsid w:val="00B832C9"/>
    <w:rsid w:val="00B84A51"/>
    <w:rsid w:val="00B900E2"/>
    <w:rsid w:val="00B9118E"/>
    <w:rsid w:val="00B95333"/>
    <w:rsid w:val="00BA35EA"/>
    <w:rsid w:val="00BB44DE"/>
    <w:rsid w:val="00BC1C01"/>
    <w:rsid w:val="00BD217B"/>
    <w:rsid w:val="00BD6115"/>
    <w:rsid w:val="00BD684A"/>
    <w:rsid w:val="00BF414C"/>
    <w:rsid w:val="00C02816"/>
    <w:rsid w:val="00C11E9D"/>
    <w:rsid w:val="00C22ECB"/>
    <w:rsid w:val="00C32DAE"/>
    <w:rsid w:val="00C332C9"/>
    <w:rsid w:val="00C40E24"/>
    <w:rsid w:val="00C61B80"/>
    <w:rsid w:val="00C831F6"/>
    <w:rsid w:val="00C92D9A"/>
    <w:rsid w:val="00C96EF5"/>
    <w:rsid w:val="00CE3786"/>
    <w:rsid w:val="00CE6707"/>
    <w:rsid w:val="00CF4457"/>
    <w:rsid w:val="00CF6526"/>
    <w:rsid w:val="00D06DB8"/>
    <w:rsid w:val="00D17B78"/>
    <w:rsid w:val="00D25064"/>
    <w:rsid w:val="00D27959"/>
    <w:rsid w:val="00D32B51"/>
    <w:rsid w:val="00D34668"/>
    <w:rsid w:val="00D3740E"/>
    <w:rsid w:val="00D40335"/>
    <w:rsid w:val="00D6213B"/>
    <w:rsid w:val="00D63095"/>
    <w:rsid w:val="00D7238C"/>
    <w:rsid w:val="00D82F57"/>
    <w:rsid w:val="00D841A5"/>
    <w:rsid w:val="00D914D2"/>
    <w:rsid w:val="00DA22A3"/>
    <w:rsid w:val="00DA25DB"/>
    <w:rsid w:val="00DB0791"/>
    <w:rsid w:val="00DD4251"/>
    <w:rsid w:val="00DE08F2"/>
    <w:rsid w:val="00DE3593"/>
    <w:rsid w:val="00E02B50"/>
    <w:rsid w:val="00E03F11"/>
    <w:rsid w:val="00E06DC8"/>
    <w:rsid w:val="00E220B5"/>
    <w:rsid w:val="00E25F98"/>
    <w:rsid w:val="00E33D93"/>
    <w:rsid w:val="00E3601D"/>
    <w:rsid w:val="00E36D78"/>
    <w:rsid w:val="00E42B18"/>
    <w:rsid w:val="00E609EF"/>
    <w:rsid w:val="00E8515B"/>
    <w:rsid w:val="00E90AFF"/>
    <w:rsid w:val="00EA09DE"/>
    <w:rsid w:val="00EC369D"/>
    <w:rsid w:val="00EC39F4"/>
    <w:rsid w:val="00ED4043"/>
    <w:rsid w:val="00EF2F91"/>
    <w:rsid w:val="00EF2FF2"/>
    <w:rsid w:val="00EF72F7"/>
    <w:rsid w:val="00F11FDA"/>
    <w:rsid w:val="00F15248"/>
    <w:rsid w:val="00F225FB"/>
    <w:rsid w:val="00F27332"/>
    <w:rsid w:val="00F33EE3"/>
    <w:rsid w:val="00F4213B"/>
    <w:rsid w:val="00F42539"/>
    <w:rsid w:val="00F50D64"/>
    <w:rsid w:val="00F573C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paragraph" w:styleId="Revision">
    <w:name w:val="Revision"/>
    <w:hidden/>
    <w:uiPriority w:val="99"/>
    <w:semiHidden/>
    <w:rsid w:val="00A50B59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3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69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69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69D"/>
    <w:rPr>
      <w:rFonts w:ascii="Arial" w:hAnsi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C332C9"/>
    <w:rPr>
      <w:rFonts w:ascii="Arial Black" w:hAnsi="Arial Black" w:cs="Arial"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alie.Powers@harrow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363D-BD83-4F93-AC07-ECF51F46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8508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3</cp:revision>
  <cp:lastPrinted>2007-07-12T09:53:00Z</cp:lastPrinted>
  <dcterms:created xsi:type="dcterms:W3CDTF">2023-02-22T09:27:00Z</dcterms:created>
  <dcterms:modified xsi:type="dcterms:W3CDTF">2023-02-22T09:28:00Z</dcterms:modified>
</cp:coreProperties>
</file>